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D157">
      <w:pPr>
        <w:jc w:val="center"/>
        <w:rPr>
          <w:rFonts w:hint="eastAsia" w:asciiTheme="majorEastAsia" w:hAnsiTheme="majorEastAsia" w:eastAsiaTheme="majorEastAsia" w:cstheme="majorEastAsia"/>
          <w:bCs/>
          <w:spacing w:val="60"/>
          <w:sz w:val="44"/>
          <w:szCs w:val="44"/>
          <w:lang w:eastAsia="zh-CN"/>
        </w:rPr>
      </w:pPr>
      <w:bookmarkStart w:id="0" w:name="_Toc152042286"/>
      <w:bookmarkStart w:id="1" w:name="_Toc144974478"/>
      <w:bookmarkStart w:id="796" w:name="_GoBack"/>
      <w:bookmarkEnd w:id="796"/>
      <w:r>
        <w:rPr>
          <w:rFonts w:hint="eastAsia" w:asciiTheme="minorEastAsia" w:hAnsiTheme="minorEastAsia" w:eastAsiaTheme="minorEastAsia" w:cstheme="minorEastAsia"/>
          <w:b/>
          <w:bCs/>
          <w:sz w:val="44"/>
          <w:szCs w:val="44"/>
          <w:lang w:eastAsia="zh-CN"/>
        </w:rPr>
        <w:t>河南职业技术学院焊接中心变配电所和中心配外网改造(合鼎楼东侧变配电所)项目</w:t>
      </w:r>
    </w:p>
    <w:p w14:paraId="72D830BE">
      <w:pPr>
        <w:jc w:val="center"/>
        <w:rPr>
          <w:rFonts w:hint="eastAsia" w:asciiTheme="majorEastAsia" w:hAnsiTheme="majorEastAsia" w:eastAsiaTheme="majorEastAsia" w:cstheme="majorEastAsia"/>
          <w:b/>
          <w:spacing w:val="60"/>
          <w:sz w:val="72"/>
          <w:szCs w:val="72"/>
        </w:rPr>
      </w:pPr>
    </w:p>
    <w:p w14:paraId="376C8899">
      <w:pPr>
        <w:jc w:val="center"/>
        <w:rPr>
          <w:rFonts w:hint="eastAsia" w:asciiTheme="majorEastAsia" w:hAnsiTheme="majorEastAsia" w:eastAsiaTheme="majorEastAsia" w:cstheme="majorEastAsia"/>
          <w:b/>
          <w:spacing w:val="60"/>
          <w:sz w:val="72"/>
          <w:szCs w:val="72"/>
        </w:rPr>
      </w:pPr>
    </w:p>
    <w:p w14:paraId="78586A9B">
      <w:pPr>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pacing w:val="60"/>
          <w:sz w:val="72"/>
          <w:szCs w:val="72"/>
        </w:rPr>
        <w:t>竞争性磋商文件</w:t>
      </w:r>
    </w:p>
    <w:p w14:paraId="00147975">
      <w:pPr>
        <w:spacing w:line="360" w:lineRule="auto"/>
        <w:rPr>
          <w:rFonts w:eastAsiaTheme="minorEastAsia"/>
        </w:rPr>
      </w:pPr>
    </w:p>
    <w:p w14:paraId="77371F79">
      <w:pPr>
        <w:spacing w:line="360" w:lineRule="auto"/>
        <w:jc w:val="center"/>
        <w:rPr>
          <w:rFonts w:eastAsiaTheme="minorEastAsia"/>
        </w:rPr>
      </w:pPr>
      <w:r>
        <w:rPr>
          <w:rFonts w:hint="eastAsia" w:ascii="宋体" w:hAnsi="宋体"/>
          <w:b/>
          <w:sz w:val="28"/>
          <w:szCs w:val="28"/>
        </w:rPr>
        <w:drawing>
          <wp:anchor distT="0" distB="0" distL="114300" distR="114300" simplePos="0" relativeHeight="251676672" behindDoc="0" locked="0" layoutInCell="1" allowOverlap="1">
            <wp:simplePos x="0" y="0"/>
            <wp:positionH relativeFrom="column">
              <wp:posOffset>1193800</wp:posOffset>
            </wp:positionH>
            <wp:positionV relativeFrom="paragraph">
              <wp:posOffset>142240</wp:posOffset>
            </wp:positionV>
            <wp:extent cx="2795905" cy="2180590"/>
            <wp:effectExtent l="0" t="0" r="4445" b="10160"/>
            <wp:wrapSquare wrapText="bothSides"/>
            <wp:docPr id="31" name="图片 2" descr="中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中元logo"/>
                    <pic:cNvPicPr>
                      <a:picLocks noChangeAspect="1"/>
                    </pic:cNvPicPr>
                  </pic:nvPicPr>
                  <pic:blipFill>
                    <a:blip r:embed="rId25"/>
                    <a:stretch>
                      <a:fillRect/>
                    </a:stretch>
                  </pic:blipFill>
                  <pic:spPr>
                    <a:xfrm>
                      <a:off x="0" y="0"/>
                      <a:ext cx="2795905" cy="2180590"/>
                    </a:xfrm>
                    <a:prstGeom prst="rect">
                      <a:avLst/>
                    </a:prstGeom>
                    <a:noFill/>
                    <a:ln>
                      <a:noFill/>
                    </a:ln>
                  </pic:spPr>
                </pic:pic>
              </a:graphicData>
            </a:graphic>
          </wp:anchor>
        </w:drawing>
      </w:r>
    </w:p>
    <w:p w14:paraId="7195F058">
      <w:pPr>
        <w:spacing w:line="360" w:lineRule="auto"/>
        <w:jc w:val="center"/>
        <w:rPr>
          <w:rFonts w:eastAsiaTheme="minorEastAsia"/>
        </w:rPr>
      </w:pPr>
    </w:p>
    <w:p w14:paraId="3D4F96E2">
      <w:pPr>
        <w:spacing w:line="360" w:lineRule="auto"/>
        <w:jc w:val="center"/>
        <w:rPr>
          <w:rFonts w:ascii="楷体" w:hAnsi="楷体" w:eastAsia="楷体" w:cs="楷体"/>
          <w:sz w:val="28"/>
          <w:szCs w:val="28"/>
        </w:rPr>
      </w:pPr>
    </w:p>
    <w:p w14:paraId="5FB4A46F">
      <w:pPr>
        <w:spacing w:line="360" w:lineRule="auto"/>
        <w:ind w:firstLine="420" w:firstLineChars="200"/>
        <w:rPr>
          <w:rFonts w:ascii="楷体" w:hAnsi="楷体" w:eastAsia="楷体" w:cs="楷体"/>
        </w:rPr>
      </w:pPr>
      <w:r>
        <w:rPr>
          <w:rFonts w:hint="eastAsia" w:ascii="楷体" w:hAnsi="楷体" w:eastAsia="楷体" w:cs="楷体"/>
        </w:rPr>
        <w:t xml:space="preserve">              </w:t>
      </w:r>
    </w:p>
    <w:p w14:paraId="7E28B1F2">
      <w:pPr>
        <w:spacing w:line="360" w:lineRule="auto"/>
        <w:rPr>
          <w:rFonts w:ascii="楷体" w:hAnsi="楷体" w:eastAsia="楷体" w:cs="楷体"/>
        </w:rPr>
      </w:pPr>
    </w:p>
    <w:p w14:paraId="01B813E8">
      <w:pPr>
        <w:spacing w:line="360" w:lineRule="auto"/>
        <w:rPr>
          <w:rFonts w:ascii="楷体" w:hAnsi="楷体" w:eastAsia="楷体" w:cs="楷体"/>
        </w:rPr>
      </w:pPr>
    </w:p>
    <w:p w14:paraId="3DDF7E42">
      <w:pPr>
        <w:spacing w:line="360" w:lineRule="auto"/>
        <w:rPr>
          <w:rFonts w:ascii="楷体" w:hAnsi="楷体" w:eastAsia="楷体" w:cs="楷体"/>
        </w:rPr>
      </w:pPr>
    </w:p>
    <w:p w14:paraId="24A3B9A3">
      <w:pPr>
        <w:rPr>
          <w:rFonts w:asciiTheme="majorEastAsia" w:hAnsiTheme="majorEastAsia" w:eastAsiaTheme="majorEastAsia" w:cstheme="majorEastAsia"/>
          <w:sz w:val="44"/>
          <w:szCs w:val="44"/>
        </w:rPr>
      </w:pPr>
    </w:p>
    <w:p w14:paraId="5D3DD302">
      <w:pPr>
        <w:rPr>
          <w:rFonts w:asciiTheme="majorEastAsia" w:hAnsiTheme="majorEastAsia" w:eastAsiaTheme="majorEastAsia" w:cstheme="majorEastAsia"/>
          <w:sz w:val="44"/>
          <w:szCs w:val="44"/>
        </w:rPr>
      </w:pPr>
    </w:p>
    <w:p w14:paraId="7EB58720">
      <w:pPr>
        <w:ind w:firstLine="1960" w:firstLineChars="700"/>
        <w:rPr>
          <w:rFonts w:asciiTheme="majorEastAsia" w:hAnsiTheme="majorEastAsia" w:eastAsiaTheme="majorEastAsia" w:cstheme="majorEastAsia"/>
          <w:sz w:val="28"/>
          <w:szCs w:val="28"/>
        </w:rPr>
      </w:pPr>
    </w:p>
    <w:p w14:paraId="15F77FAA">
      <w:pPr>
        <w:ind w:firstLine="1968" w:firstLineChars="700"/>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b/>
          <w:bCs/>
          <w:sz w:val="28"/>
          <w:szCs w:val="28"/>
        </w:rPr>
        <w:t>采购编号：</w:t>
      </w:r>
      <w:r>
        <w:rPr>
          <w:rFonts w:hint="eastAsia" w:asciiTheme="majorEastAsia" w:hAnsiTheme="majorEastAsia" w:eastAsiaTheme="majorEastAsia" w:cstheme="majorEastAsia"/>
          <w:b/>
          <w:bCs/>
          <w:sz w:val="28"/>
          <w:szCs w:val="28"/>
          <w:lang w:val="en-US" w:eastAsia="zh-CN"/>
        </w:rPr>
        <w:t>豫财磋商采购-2025-1122</w:t>
      </w:r>
    </w:p>
    <w:p w14:paraId="1682F536">
      <w:pPr>
        <w:rPr>
          <w:rFonts w:asciiTheme="majorEastAsia" w:hAnsiTheme="majorEastAsia" w:eastAsiaTheme="majorEastAsia" w:cstheme="majorEastAsia"/>
          <w:sz w:val="44"/>
          <w:szCs w:val="44"/>
        </w:rPr>
      </w:pPr>
    </w:p>
    <w:p w14:paraId="58AA7C56">
      <w:pPr>
        <w:rPr>
          <w:rFonts w:asciiTheme="majorEastAsia" w:hAnsiTheme="majorEastAsia" w:eastAsiaTheme="majorEastAsia" w:cstheme="majorEastAsia"/>
          <w:sz w:val="44"/>
          <w:szCs w:val="44"/>
        </w:rPr>
      </w:pPr>
    </w:p>
    <w:p w14:paraId="765D309E">
      <w:pPr>
        <w:rPr>
          <w:rFonts w:asciiTheme="majorEastAsia" w:hAnsiTheme="majorEastAsia" w:eastAsiaTheme="majorEastAsia" w:cstheme="majorEastAsia"/>
          <w:sz w:val="44"/>
          <w:szCs w:val="44"/>
        </w:rPr>
      </w:pPr>
    </w:p>
    <w:p w14:paraId="7597A1ED">
      <w:pPr>
        <w:rPr>
          <w:rFonts w:asciiTheme="majorEastAsia" w:hAnsiTheme="majorEastAsia" w:eastAsiaTheme="majorEastAsia" w:cstheme="majorEastAsia"/>
          <w:sz w:val="44"/>
          <w:szCs w:val="44"/>
        </w:rPr>
      </w:pPr>
    </w:p>
    <w:p w14:paraId="640F9410">
      <w:pPr>
        <w:rPr>
          <w:rFonts w:asciiTheme="majorEastAsia" w:hAnsiTheme="majorEastAsia" w:eastAsiaTheme="majorEastAsia" w:cstheme="majorEastAsia"/>
          <w:sz w:val="44"/>
          <w:szCs w:val="44"/>
        </w:rPr>
      </w:pPr>
    </w:p>
    <w:p w14:paraId="75A3B872">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采购人：河南职业技术学院</w:t>
      </w:r>
    </w:p>
    <w:p w14:paraId="55CECCD8">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采购代理机构：中元建设科技有限责任公司</w:t>
      </w:r>
    </w:p>
    <w:p w14:paraId="12E7F0CE">
      <w:pPr>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二〇二五年十月</w:t>
      </w:r>
    </w:p>
    <w:p w14:paraId="0EF95080">
      <w:pPr>
        <w:spacing w:line="440" w:lineRule="exact"/>
        <w:jc w:val="center"/>
        <w:rPr>
          <w:rFonts w:ascii="楷体" w:hAnsi="楷体" w:eastAsia="楷体" w:cs="楷体"/>
          <w:b/>
          <w:bCs/>
          <w:sz w:val="36"/>
          <w:szCs w:val="36"/>
        </w:rPr>
        <w:sectPr>
          <w:pgSz w:w="11906" w:h="16838"/>
          <w:pgMar w:top="1701" w:right="1531" w:bottom="1531" w:left="1531" w:header="0" w:footer="986" w:gutter="0"/>
          <w:pgNumType w:start="1"/>
          <w:cols w:space="0" w:num="1"/>
          <w:docGrid w:linePitch="316" w:charSpace="0"/>
        </w:sectPr>
      </w:pPr>
    </w:p>
    <w:p w14:paraId="4BA8BD20">
      <w:pPr>
        <w:pStyle w:val="17"/>
        <w:tabs>
          <w:tab w:val="right" w:leader="dot" w:pos="8844"/>
        </w:tabs>
        <w:jc w:val="center"/>
        <w:rPr>
          <w:rFonts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目 录</w:t>
      </w:r>
    </w:p>
    <w:p w14:paraId="4EBBB39A">
      <w:pPr>
        <w:pStyle w:val="17"/>
        <w:tabs>
          <w:tab w:val="right" w:leader="dot" w:pos="8844"/>
        </w:tabs>
        <w:rPr>
          <w:rFonts w:asciiTheme="minorEastAsia" w:hAnsiTheme="minorEastAsia" w:eastAsiaTheme="minorEastAsia" w:cstheme="minorEastAsia"/>
          <w:b w:val="0"/>
          <w:bCs w:val="0"/>
          <w:sz w:val="28"/>
          <w:szCs w:val="28"/>
        </w:rPr>
      </w:pPr>
    </w:p>
    <w:p w14:paraId="54515334">
      <w:pPr>
        <w:pStyle w:val="17"/>
        <w:tabs>
          <w:tab w:val="right" w:leader="dot" w:pos="8844"/>
        </w:tabs>
        <w:rPr>
          <w:rFonts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TOC \o "1-3" \h \u </w:instrText>
      </w:r>
      <w:r>
        <w:rPr>
          <w:rFonts w:hint="eastAsia" w:asciiTheme="minorEastAsia" w:hAnsiTheme="minorEastAsia" w:eastAsiaTheme="minorEastAsia" w:cstheme="minorEastAsia"/>
          <w:b w:val="0"/>
          <w:bCs w:val="0"/>
          <w:sz w:val="28"/>
          <w:szCs w:val="28"/>
        </w:rPr>
        <w:fldChar w:fldCharType="separate"/>
      </w:r>
      <w:r>
        <w:fldChar w:fldCharType="begin"/>
      </w:r>
      <w:r>
        <w:instrText xml:space="preserve"> HYPERLINK \l "_Toc14084" </w:instrText>
      </w:r>
      <w:r>
        <w:fldChar w:fldCharType="separate"/>
      </w:r>
      <w:r>
        <w:rPr>
          <w:rFonts w:hint="eastAsia" w:asciiTheme="minorEastAsia" w:hAnsiTheme="minorEastAsia" w:eastAsiaTheme="minorEastAsia" w:cstheme="minorEastAsia"/>
          <w:b w:val="0"/>
          <w:bCs w:val="0"/>
          <w:sz w:val="28"/>
          <w:szCs w:val="28"/>
        </w:rPr>
        <w:t>第一章  竞争性磋商公告</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_Toc14084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0E42EFA3">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"_Toc17724" </w:instrText>
      </w:r>
      <w:r>
        <w:fldChar w:fldCharType="separate"/>
      </w:r>
      <w:r>
        <w:rPr>
          <w:rFonts w:hint="eastAsia" w:asciiTheme="minorEastAsia" w:hAnsiTheme="minorEastAsia" w:eastAsiaTheme="minorEastAsia" w:cstheme="minorEastAsia"/>
          <w:b w:val="0"/>
          <w:bCs w:val="0"/>
          <w:sz w:val="28"/>
          <w:szCs w:val="28"/>
        </w:rPr>
        <w:t>第二章  供应商须知</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_Toc17724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44E07945">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"_Toc11656" </w:instrText>
      </w:r>
      <w:r>
        <w:fldChar w:fldCharType="separate"/>
      </w:r>
      <w:r>
        <w:rPr>
          <w:rFonts w:hint="eastAsia" w:asciiTheme="minorEastAsia" w:hAnsiTheme="minorEastAsia" w:eastAsiaTheme="minorEastAsia" w:cstheme="minorEastAsia"/>
          <w:b w:val="0"/>
          <w:bCs w:val="0"/>
          <w:sz w:val="28"/>
          <w:szCs w:val="28"/>
        </w:rPr>
        <w:t>第三章  评审方法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_Toc11656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03B76FE2">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"_Toc29111" </w:instrText>
      </w:r>
      <w:r>
        <w:fldChar w:fldCharType="separate"/>
      </w:r>
      <w:r>
        <w:rPr>
          <w:rFonts w:hint="eastAsia" w:asciiTheme="minorEastAsia" w:hAnsiTheme="minorEastAsia" w:eastAsiaTheme="minorEastAsia" w:cstheme="minorEastAsia"/>
          <w:b w:val="0"/>
          <w:bCs w:val="0"/>
          <w:sz w:val="28"/>
          <w:szCs w:val="28"/>
        </w:rPr>
        <w:t>第四章  合同条款及格式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_Toc29111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5FFE43E3">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"_Toc19493" </w:instrText>
      </w:r>
      <w:r>
        <w:fldChar w:fldCharType="separate"/>
      </w:r>
      <w:r>
        <w:rPr>
          <w:rFonts w:hint="eastAsia" w:asciiTheme="minorEastAsia" w:hAnsiTheme="minorEastAsia" w:eastAsiaTheme="minorEastAsia" w:cstheme="minorEastAsia"/>
          <w:b w:val="0"/>
          <w:bCs w:val="0"/>
          <w:sz w:val="28"/>
          <w:szCs w:val="28"/>
        </w:rPr>
        <w:t>第五章  工程量清单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_Toc19493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578744E6">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"_Toc11611" </w:instrText>
      </w:r>
      <w:r>
        <w:fldChar w:fldCharType="separate"/>
      </w:r>
      <w:r>
        <w:rPr>
          <w:rFonts w:hint="eastAsia" w:asciiTheme="minorEastAsia" w:hAnsiTheme="minorEastAsia" w:eastAsiaTheme="minorEastAsia" w:cstheme="minorEastAsia"/>
          <w:b w:val="0"/>
          <w:bCs w:val="0"/>
          <w:sz w:val="28"/>
          <w:szCs w:val="28"/>
        </w:rPr>
        <w:t>第六章  图纸</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_Toc11611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41E0AB1D">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"_Toc18408" </w:instrText>
      </w:r>
      <w:r>
        <w:fldChar w:fldCharType="separate"/>
      </w:r>
      <w:r>
        <w:rPr>
          <w:rFonts w:hint="eastAsia" w:asciiTheme="minorEastAsia" w:hAnsiTheme="minorEastAsia" w:eastAsiaTheme="minorEastAsia" w:cstheme="minorEastAsia"/>
          <w:b w:val="0"/>
          <w:bCs w:val="0"/>
          <w:sz w:val="28"/>
          <w:szCs w:val="28"/>
        </w:rPr>
        <w:t>第七章  技术标准和要求</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_Toc18408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19DA1539">
      <w:pPr>
        <w:pStyle w:val="17"/>
        <w:tabs>
          <w:tab w:val="right" w:leader="dot" w:pos="8844"/>
        </w:tabs>
        <w:rPr>
          <w:rFonts w:asciiTheme="minorEastAsia" w:hAnsiTheme="minorEastAsia" w:eastAsiaTheme="minorEastAsia" w:cstheme="minorEastAsia"/>
          <w:b w:val="0"/>
          <w:bCs w:val="0"/>
          <w:sz w:val="28"/>
          <w:szCs w:val="28"/>
        </w:rPr>
      </w:pPr>
      <w:r>
        <w:fldChar w:fldCharType="begin"/>
      </w:r>
      <w:r>
        <w:instrText xml:space="preserve"> HYPERLINK \l "_Toc20132" </w:instrText>
      </w:r>
      <w:r>
        <w:fldChar w:fldCharType="separate"/>
      </w:r>
      <w:r>
        <w:rPr>
          <w:rFonts w:hint="eastAsia" w:asciiTheme="minorEastAsia" w:hAnsiTheme="minorEastAsia" w:eastAsiaTheme="minorEastAsia" w:cstheme="minorEastAsia"/>
          <w:b w:val="0"/>
          <w:bCs w:val="0"/>
          <w:sz w:val="28"/>
          <w:szCs w:val="28"/>
        </w:rPr>
        <w:t>第八章  响应文件格式</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_Toc20132 \h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fldChar w:fldCharType="end"/>
      </w:r>
    </w:p>
    <w:p w14:paraId="328741C0">
      <w:pPr>
        <w:spacing w:line="360" w:lineRule="auto"/>
        <w:jc w:val="center"/>
        <w:rPr>
          <w:rFonts w:ascii="楷体" w:hAnsi="楷体" w:eastAsia="楷体" w:cs="楷体"/>
          <w:b/>
          <w:bCs/>
          <w:sz w:val="36"/>
          <w:szCs w:val="36"/>
        </w:rPr>
        <w:sectPr>
          <w:pgSz w:w="11906" w:h="16838"/>
          <w:pgMar w:top="1701" w:right="1531" w:bottom="1531" w:left="1531" w:header="0" w:footer="986" w:gutter="0"/>
          <w:pgNumType w:start="1"/>
          <w:cols w:space="0" w:num="1"/>
          <w:docGrid w:linePitch="316" w:charSpace="0"/>
        </w:sectPr>
      </w:pPr>
      <w:r>
        <w:rPr>
          <w:rFonts w:hint="eastAsia" w:asciiTheme="minorEastAsia" w:hAnsiTheme="minorEastAsia" w:eastAsiaTheme="minorEastAsia" w:cstheme="minorEastAsia"/>
          <w:sz w:val="28"/>
          <w:szCs w:val="28"/>
        </w:rPr>
        <w:fldChar w:fldCharType="end"/>
      </w:r>
    </w:p>
    <w:bookmarkEnd w:id="0"/>
    <w:bookmarkEnd w:id="1"/>
    <w:p w14:paraId="259442A0">
      <w:pPr>
        <w:pStyle w:val="2"/>
        <w:numPr>
          <w:ilvl w:val="0"/>
          <w:numId w:val="0"/>
        </w:numPr>
      </w:pPr>
      <w:bookmarkStart w:id="2" w:name="_Toc14084"/>
      <w:bookmarkStart w:id="3" w:name="_Toc12582"/>
      <w:bookmarkStart w:id="4" w:name="_Toc152042303"/>
      <w:bookmarkStart w:id="5" w:name="_Toc144974495"/>
      <w:bookmarkStart w:id="6" w:name="_Toc152045527"/>
      <w:r>
        <w:rPr>
          <w:rFonts w:hint="eastAsia"/>
        </w:rPr>
        <w:t>第一章  竞争性磋商公告</w:t>
      </w:r>
      <w:bookmarkEnd w:id="2"/>
      <w:bookmarkEnd w:id="3"/>
    </w:p>
    <w:p w14:paraId="35EB8833">
      <w:pPr>
        <w:widowControl/>
        <w:spacing w:line="360" w:lineRule="auto"/>
        <w:jc w:val="center"/>
        <w:rPr>
          <w:rFonts w:asciiTheme="majorEastAsia" w:hAnsiTheme="majorEastAsia" w:eastAsiaTheme="majorEastAsia" w:cstheme="majorEastAsia"/>
          <w:b/>
          <w:bCs/>
          <w:sz w:val="24"/>
          <w:szCs w:val="24"/>
        </w:rPr>
      </w:pPr>
      <w:bookmarkStart w:id="7" w:name="_Toc18463"/>
      <w:bookmarkStart w:id="8" w:name="_Toc11638"/>
      <w:bookmarkStart w:id="9" w:name="_Toc17035"/>
      <w:bookmarkStart w:id="10" w:name="_Toc492115007"/>
      <w:bookmarkStart w:id="11" w:name="_Toc23901"/>
      <w:bookmarkStart w:id="12" w:name="_Toc5082"/>
      <w:bookmarkStart w:id="13" w:name="_Toc31449"/>
      <w:bookmarkStart w:id="14" w:name="_Toc13233"/>
      <w:bookmarkStart w:id="15" w:name="_Toc10279"/>
      <w:r>
        <w:rPr>
          <w:rFonts w:hint="eastAsia" w:asciiTheme="majorEastAsia" w:hAnsiTheme="majorEastAsia" w:eastAsiaTheme="majorEastAsia" w:cstheme="majorEastAsia"/>
          <w:b/>
          <w:bCs/>
          <w:sz w:val="28"/>
          <w:szCs w:val="28"/>
          <w:lang w:eastAsia="zh-CN"/>
        </w:rPr>
        <w:t>河南职业技术学院焊接中心变配电所和中心配外网改造(合鼎楼东侧变配电所)项目</w:t>
      </w:r>
      <w:r>
        <w:rPr>
          <w:rFonts w:hint="eastAsia" w:asciiTheme="majorEastAsia" w:hAnsiTheme="majorEastAsia" w:eastAsiaTheme="majorEastAsia" w:cstheme="majorEastAsia"/>
          <w:b/>
          <w:bCs/>
          <w:sz w:val="28"/>
          <w:szCs w:val="28"/>
        </w:rPr>
        <w:t>竞争性磋商公告</w:t>
      </w:r>
      <w:bookmarkEnd w:id="7"/>
      <w:bookmarkEnd w:id="8"/>
      <w:bookmarkEnd w:id="9"/>
      <w:bookmarkEnd w:id="10"/>
      <w:bookmarkEnd w:id="11"/>
      <w:bookmarkEnd w:id="12"/>
      <w:bookmarkEnd w:id="13"/>
      <w:bookmarkEnd w:id="14"/>
    </w:p>
    <w:p w14:paraId="290ABC2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06A2C435">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河南职业技术学院焊接中心变配电所和中心配外网改造(合鼎楼东侧变配电所)项目</w:t>
      </w:r>
      <w:r>
        <w:rPr>
          <w:rFonts w:hint="eastAsia" w:asciiTheme="minorEastAsia" w:hAnsiTheme="minorEastAsia" w:eastAsiaTheme="minorEastAsia" w:cstheme="minorEastAsia"/>
          <w:sz w:val="24"/>
          <w:szCs w:val="24"/>
        </w:rPr>
        <w:t>招标项目的潜在投标人应在河南省公共资源交易中心（http://hnsggzyjy.henan.gov.cn/）获取招标文件，并于2025年11月</w:t>
      </w:r>
      <w:r>
        <w:rPr>
          <w:rFonts w:hint="eastAsia" w:asciiTheme="minorEastAsia" w:hAnsiTheme="minorEastAsia" w:eastAsiaTheme="minorEastAsia" w:cstheme="minorEastAsia"/>
          <w:sz w:val="24"/>
          <w:szCs w:val="24"/>
          <w:lang w:val="en-US" w:eastAsia="zh-CN"/>
        </w:rPr>
        <w:t>07</w:t>
      </w:r>
      <w:r>
        <w:rPr>
          <w:rFonts w:hint="eastAsia" w:asciiTheme="minorEastAsia" w:hAnsiTheme="minorEastAsia" w:eastAsiaTheme="minorEastAsia" w:cstheme="minorEastAsia"/>
          <w:sz w:val="24"/>
          <w:szCs w:val="24"/>
        </w:rPr>
        <w:t>日09时00分（北京时间）前递交响应文件。</w:t>
      </w:r>
    </w:p>
    <w:p w14:paraId="2CEB699F">
      <w:pPr>
        <w:numPr>
          <w:ilvl w:val="0"/>
          <w:numId w:val="2"/>
        </w:num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项目基本情况</w:t>
      </w:r>
    </w:p>
    <w:p w14:paraId="62A030BB">
      <w:pPr>
        <w:numPr>
          <w:ilvl w:val="0"/>
          <w:numId w:val="3"/>
        </w:num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val="en-US" w:eastAsia="zh-CN"/>
        </w:rPr>
        <w:t>豫财磋商采购-2025-1122</w:t>
      </w:r>
    </w:p>
    <w:p w14:paraId="5921C6E4">
      <w:pPr>
        <w:numPr>
          <w:ilvl w:val="0"/>
          <w:numId w:val="3"/>
        </w:numPr>
        <w:spacing w:line="360" w:lineRule="auto"/>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河南职业技术学院焊接中心变配电所和中心配外网改造(合鼎楼东侧变配电所)项目</w:t>
      </w:r>
    </w:p>
    <w:p w14:paraId="27BDCBF6">
      <w:pPr>
        <w:numPr>
          <w:ilvl w:val="0"/>
          <w:numId w:val="0"/>
        </w:numPr>
        <w:spacing w:line="360" w:lineRule="auto"/>
        <w:ind w:left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3、采购方式：竞争性磋商</w:t>
      </w:r>
    </w:p>
    <w:p w14:paraId="6E7B361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4、预算金额：1594512.19元</w:t>
      </w:r>
    </w:p>
    <w:p w14:paraId="1291C91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最高限价：1594512.19元</w:t>
      </w:r>
    </w:p>
    <w:tbl>
      <w:tblPr>
        <w:tblStyle w:val="26"/>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72"/>
        <w:gridCol w:w="3098"/>
        <w:gridCol w:w="1826"/>
        <w:gridCol w:w="1875"/>
      </w:tblGrid>
      <w:tr w14:paraId="20B5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14:paraId="4FA52E89">
            <w:pPr>
              <w:pStyle w:val="46"/>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1972" w:type="dxa"/>
            <w:vAlign w:val="center"/>
          </w:tcPr>
          <w:p w14:paraId="36FD3810">
            <w:pPr>
              <w:pStyle w:val="46"/>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包号</w:t>
            </w:r>
          </w:p>
        </w:tc>
        <w:tc>
          <w:tcPr>
            <w:tcW w:w="3098" w:type="dxa"/>
            <w:vAlign w:val="center"/>
          </w:tcPr>
          <w:p w14:paraId="5E3B66E9">
            <w:pPr>
              <w:pStyle w:val="46"/>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包名称</w:t>
            </w:r>
          </w:p>
        </w:tc>
        <w:tc>
          <w:tcPr>
            <w:tcW w:w="1826" w:type="dxa"/>
            <w:vAlign w:val="center"/>
          </w:tcPr>
          <w:p w14:paraId="46E45F44">
            <w:pPr>
              <w:pStyle w:val="46"/>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包预算（元）</w:t>
            </w:r>
          </w:p>
        </w:tc>
        <w:tc>
          <w:tcPr>
            <w:tcW w:w="1875" w:type="dxa"/>
            <w:vAlign w:val="center"/>
          </w:tcPr>
          <w:p w14:paraId="35436E1A">
            <w:pPr>
              <w:pStyle w:val="46"/>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包最高限价（元）</w:t>
            </w:r>
          </w:p>
        </w:tc>
      </w:tr>
      <w:tr w14:paraId="0338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14:paraId="00FEDBA1">
            <w:pPr>
              <w:pStyle w:val="46"/>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972" w:type="dxa"/>
            <w:vAlign w:val="center"/>
          </w:tcPr>
          <w:p w14:paraId="6FFBFEED">
            <w:pPr>
              <w:pStyle w:val="46"/>
              <w:spacing w:line="360" w:lineRule="auto"/>
              <w:jc w:val="center"/>
              <w:rPr>
                <w:rFonts w:asciiTheme="minorEastAsia" w:hAnsiTheme="minorEastAsia" w:eastAsiaTheme="minorEastAsia" w:cstheme="minorEastAsia"/>
                <w:sz w:val="22"/>
                <w:szCs w:val="22"/>
              </w:rPr>
            </w:pPr>
            <w:r>
              <w:rPr>
                <w:rFonts w:hint="default" w:asciiTheme="minorEastAsia" w:hAnsiTheme="minorEastAsia" w:eastAsiaTheme="minorEastAsia" w:cstheme="minorEastAsia"/>
                <w:sz w:val="22"/>
                <w:szCs w:val="22"/>
              </w:rPr>
              <w:t>豫政采(2)20251883-1</w:t>
            </w:r>
          </w:p>
        </w:tc>
        <w:tc>
          <w:tcPr>
            <w:tcW w:w="3098" w:type="dxa"/>
            <w:vAlign w:val="center"/>
          </w:tcPr>
          <w:p w14:paraId="0434D767">
            <w:pPr>
              <w:pStyle w:val="46"/>
              <w:spacing w:line="360" w:lineRule="auto"/>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4"/>
                <w:szCs w:val="24"/>
                <w:lang w:eastAsia="zh-CN"/>
              </w:rPr>
              <w:t>河南职业技术学院焊接中心变配电所和中心配外网改造(合鼎楼东侧变配电所)项目</w:t>
            </w:r>
          </w:p>
        </w:tc>
        <w:tc>
          <w:tcPr>
            <w:tcW w:w="1826" w:type="dxa"/>
            <w:vAlign w:val="center"/>
          </w:tcPr>
          <w:p w14:paraId="049ECF61">
            <w:pPr>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1594512.19</w:t>
            </w:r>
          </w:p>
        </w:tc>
        <w:tc>
          <w:tcPr>
            <w:tcW w:w="1875" w:type="dxa"/>
            <w:vAlign w:val="center"/>
          </w:tcPr>
          <w:p w14:paraId="4AF7360E">
            <w:pPr>
              <w:spacing w:line="360" w:lineRule="auto"/>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1594512.19</w:t>
            </w:r>
          </w:p>
        </w:tc>
      </w:tr>
    </w:tbl>
    <w:p w14:paraId="01580BC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5、采购需求（包括但不限于标的的名称、数量、简要技术需求或服务要求等）</w:t>
      </w:r>
    </w:p>
    <w:p w14:paraId="7EC5B13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5.1、采购内容：</w:t>
      </w:r>
    </w:p>
    <w:p w14:paraId="6F541484">
      <w:pPr>
        <w:spacing w:line="360" w:lineRule="auto"/>
        <w:ind w:firstLine="480" w:firstLineChars="200"/>
        <w:jc w:val="left"/>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本次新建合鼎楼东侧变配电所包含机电实训变配电所改造、机电实训变配电所至新建变配电所之间10KV电缆敷设以及区域内各高低压设备、照明设备、电缆桥架、防雷接地等系统安装调式等。</w:t>
      </w:r>
    </w:p>
    <w:p w14:paraId="5DACA4F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5.2、项目概况：</w:t>
      </w:r>
    </w:p>
    <w:p w14:paraId="536C3F6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为满足我校合鼎楼东侧新建停车场及周边场地用电需求，我校拟对合鼎楼东侧停车场区域内的变配电所进行施工，本次新建的变配电所采用10KV 单电源供电，内置一台 1×1600KVA变压器供该区域内设施用电，10KV电源引自机电实训变配电所。</w:t>
      </w:r>
    </w:p>
    <w:p w14:paraId="2A9A6AE8">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5.3、计划工期：90日历天；</w:t>
      </w:r>
    </w:p>
    <w:p w14:paraId="4A1592B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5.4、质量标准：工程质量符合国家、省、市有关工程施工方面的规范、文件规定的内容，满足使用要求，达到国家相关部门有关施工质量验收规范的合格标准。</w:t>
      </w:r>
    </w:p>
    <w:p w14:paraId="415DA75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5.5、资金来源：财政资金</w:t>
      </w:r>
    </w:p>
    <w:p w14:paraId="765364B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6、合同履行期限：自合同生效至所有服务结束</w:t>
      </w:r>
    </w:p>
    <w:p w14:paraId="354FD5F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7、本项目是否接受联合体投标：否</w:t>
      </w:r>
    </w:p>
    <w:p w14:paraId="5E2CD60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8、是否接受进口产品：否</w:t>
      </w:r>
    </w:p>
    <w:p w14:paraId="0CE16C7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9、是否专门面向中小企业：否 </w:t>
      </w:r>
    </w:p>
    <w:p w14:paraId="46408EDA">
      <w:pPr>
        <w:pStyle w:val="46"/>
        <w:spacing w:line="360" w:lineRule="auto"/>
        <w:ind w:firstLine="482"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rPr>
        <w:t>二、申请人资格要求</w:t>
      </w:r>
    </w:p>
    <w:p w14:paraId="01A32BF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7FF06B1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2、落实政府采购政策满足的资格要求：无；</w:t>
      </w:r>
    </w:p>
    <w:p w14:paraId="350844D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1BFE03D">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满足《中华人民共和国政府采购法》第二十二条规定：</w:t>
      </w:r>
    </w:p>
    <w:p w14:paraId="51B67DC2">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（1）提供有效的企业营业执照（或其他相关证明文件）；</w:t>
      </w:r>
    </w:p>
    <w:p w14:paraId="4D065C6D">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（2）提供2024年度经审计的财务报告（如企业成立不足一年，提供近期的资产负债表或银行资信证明）；</w:t>
      </w:r>
    </w:p>
    <w:p w14:paraId="45A31E25">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（3）具有2025年1月1日以来连续</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 xml:space="preserve">个月的依法缴纳税收和社会保障资金的相关材料（依法免税或不需缴纳社会保障资金的应提供相应文件证明）； </w:t>
      </w:r>
    </w:p>
    <w:p w14:paraId="45275BE7">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（4）提供书面声明或承诺文件（即供应商具有良好的商业信誉，具有履行合同所必需的设备和专业技术能力且参加本次政府采购活动前三年内，在经营活动中没有重大违法记录的书面声明）。</w:t>
      </w:r>
    </w:p>
    <w:p w14:paraId="06B5FC6D">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供应商须具备建设主管部门颁发的电力工程施工总承包三级及以上或输变电工程专业承包叁级(含)及以上资质，具有有效的安全生产许可证，同时取得国家能源部门颁发的有效期内的承装、承修、承试三级及以上《承装(修、试)电力设施许可证》(原四级及以上，未换领电子证照的按照《国家能源局关于做好承装(修、试)电力设施许可证换领和延续工作的通知》国能发资质〔2025〕44号 换领对照表对应等级),并在人员、设备、资金等方面具有相应的施工能力；</w:t>
      </w:r>
    </w:p>
    <w:p w14:paraId="252CD18F">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3.3、供应商拟派施工项目经理须具备机电工程专业贰级及以上注册建造师执业资格，具备有效的安全生产考核合格证书 B 类 (在有效期内),且未担任其他在施建设工程项目的项目经理 (出具无在建承诺并加盖企业公章);</w:t>
      </w:r>
    </w:p>
    <w:p w14:paraId="7575B0C3">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并须提供与本单位签订的劳动合同及2025年1月以来连续</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月的社会保险缴纳证明(投标人须在投标文件中提供劳动合同、社保部门盖章出具的单位为拟派人员缴纳社保的证明文件或者单位为拟派人员在社保部门官方网站下载的带有社保机构印章的证明材料，查询日期为公告发布之后至投标截止时间前)；</w:t>
      </w:r>
    </w:p>
    <w:p w14:paraId="5130C965">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3.4、根据《财政部关于在政府采购活动中查询及使用信用记录有关问题的通知》（财库〔2016〕125 号）和《河南省财政厅关于转发财政部&lt;关于在政府采购活动中查询及使用信用记录有关问题的通知&gt;的通知》（豫财购〔2016〕15 号）的规定，对列入失信被执行人、重大税收违法失信主体、政府采购严重违法失信行为记录名单的供应商，拒绝参与本项目政府采购活动。（查询渠道：“中国执行信息公开网”网站：查询失信被执行人；“信用中国”网站：查询重大税收违法失信主体；“中国政府采购网”网站：查询政府采购严重违法失信行为记录名单）；</w:t>
      </w:r>
    </w:p>
    <w:p w14:paraId="372B5AC5">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则该供应商为无效供应商，信用信息查询记录及相关证据与磋商文件一并保存；</w:t>
      </w:r>
    </w:p>
    <w:p w14:paraId="1F87CA02">
      <w:pPr>
        <w:widowControl/>
        <w:spacing w:line="360" w:lineRule="auto"/>
        <w:ind w:firstLine="480"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3.5、单位负责人为同一人或者存在直接控股、管理关系的不同供应商，不得参加同一合同项下的政府采购活动（提供承诺书，格式自拟）。</w:t>
      </w:r>
    </w:p>
    <w:p w14:paraId="61C984C5">
      <w:pPr>
        <w:pStyle w:val="46"/>
        <w:spacing w:line="360" w:lineRule="auto"/>
        <w:ind w:firstLine="480"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Cs/>
          <w:szCs w:val="24"/>
        </w:rPr>
        <w:t>3.6为采购项目提供整体设计、规范编制或者项目管理、监理、检测等服务的供应商，不得再参加该采购项目的其他采购活动。（提供承诺文件）</w:t>
      </w:r>
    </w:p>
    <w:p w14:paraId="4DB26F57">
      <w:pPr>
        <w:pStyle w:val="46"/>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三、获取采购文件</w:t>
      </w:r>
    </w:p>
    <w:p w14:paraId="1C0370E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1、时间：2025年10月</w:t>
      </w: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日至2025年1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日，每天上午00:00至12:00，下午12:00至23:59（北京时间，法定节假日除外）。</w:t>
      </w:r>
    </w:p>
    <w:p w14:paraId="3E06C43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2、地点：河南省公共资源交易中心（http://hnsggzyjy.henan.gov.cn/）。</w:t>
      </w:r>
    </w:p>
    <w:p w14:paraId="60B0F11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式：凭单位身份认证锁（CA数字证书）在规定时间内按网上提示下载采购文件及资料。供应商需要完成信息登记及CA数字证书办理，才能通过河南省公共资源交易平台参与交易活动。具体办理事宜请查阅河南省公共资源交易中心网站“办事指南”专区的《新交易平台使用手册（培训资料）》。</w:t>
      </w:r>
    </w:p>
    <w:p w14:paraId="4F87A79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4、售价：0元。</w:t>
      </w:r>
    </w:p>
    <w:p w14:paraId="101DB3BA">
      <w:pPr>
        <w:pStyle w:val="46"/>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四、响应文件提交</w:t>
      </w:r>
    </w:p>
    <w:p w14:paraId="784BA4E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1、截止时间：2025年11月0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日09时00分（北京时间）；</w:t>
      </w:r>
    </w:p>
    <w:p w14:paraId="0A26466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2、地点：加密电子响应文件须在响应文件提交截止时间前通过“河南省公共资源交易中心（http://hnsggzyjy.henan.gov.cn/）”电子交易平台上传。逾期上传/或者未上传/指定地点的响应文件，采购人不予受理。</w:t>
      </w:r>
    </w:p>
    <w:p w14:paraId="5AFE04B9">
      <w:pPr>
        <w:pStyle w:val="46"/>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五、响应文件开启</w:t>
      </w:r>
    </w:p>
    <w:p w14:paraId="1EB7E43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1、时间：2025年11月0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日09时00分（北京时间）；</w:t>
      </w:r>
    </w:p>
    <w:p w14:paraId="581DA11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2、地点：河南省公共资源交易中心网站首页“不见面开标大厅”（河南省公共资源交易中心远程开标室）。</w:t>
      </w:r>
    </w:p>
    <w:p w14:paraId="5B546BA0">
      <w:pPr>
        <w:pStyle w:val="46"/>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六、发布公告的媒介及招标公告期限</w:t>
      </w:r>
    </w:p>
    <w:p w14:paraId="0ECE1C9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本次招标公告在《河南省政府采购网》、《河南省公共资源交易中心》上发布，招标公告期限为三个工作日。</w:t>
      </w:r>
    </w:p>
    <w:p w14:paraId="59C81EC3">
      <w:pPr>
        <w:pStyle w:val="46"/>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七、其他补充事宜</w:t>
      </w:r>
    </w:p>
    <w:p w14:paraId="7D57953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1、本项目落实优先采购节能环保、环境标志性产品、优先采购自主创新产品，扶持不发达地区和少数民族地区，促进中小企业、监狱企业、残疾人福利性企业发展等相关政府采购政策；</w:t>
      </w:r>
    </w:p>
    <w:p w14:paraId="162AB528">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采用“远程不见面”磋商方式，供应商无需到河南省公共资源交易中心现场参加开标会议及递交纸质投标（响应）文件，无需到达现场提交原件资料。供应商应当在采购文件确定的截止时间前，登录河南省不见面开标大厅系统（http://hnsggzyjy.henan.gov.cn/BidOpening/bidopeninghallaction/hall/login），在线准时参加开标活动并进行投标（响应）文件解密、答疑澄清等；</w:t>
      </w:r>
    </w:p>
    <w:p w14:paraId="3CB65B92">
      <w:pPr>
        <w:wordWrap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3、本项目招标代理服务费按照豫招协[2023]002号河南省招标投标协会关于印发《河南省招标代理服务收费指导意见》的规定计取，由成交人领取成交通知书时向采购代理机构支付。</w:t>
      </w:r>
    </w:p>
    <w:p w14:paraId="5ABFF4C4">
      <w:pPr>
        <w:pStyle w:val="46"/>
        <w:spacing w:line="360" w:lineRule="auto"/>
        <w:ind w:firstLine="482" w:firstLineChars="200"/>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八、凡对本次招标提出询问，请按照以下方式联系</w:t>
      </w:r>
    </w:p>
    <w:p w14:paraId="6D631FA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3940C37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名称：河南职业技术学院</w:t>
      </w:r>
    </w:p>
    <w:p w14:paraId="68C6A19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地址：河南省郑州市金水区龙子湖高校园区平安大道 210 号 </w:t>
      </w:r>
    </w:p>
    <w:p w14:paraId="6CC9BA7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人：范老师</w:t>
      </w:r>
    </w:p>
    <w:p w14:paraId="2AF1070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联系电话：0371-69309268</w:t>
      </w:r>
    </w:p>
    <w:p w14:paraId="4C72C02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61605A2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名称：中元建设科技有限责任公司</w:t>
      </w:r>
    </w:p>
    <w:p w14:paraId="5A723DA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地址：郑州市金水区金成时代广场9号楼15楼</w:t>
      </w:r>
    </w:p>
    <w:p w14:paraId="22B4FC9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联系人：李女士</w:t>
      </w:r>
    </w:p>
    <w:p w14:paraId="5B08AE8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联系方式：18803976082</w:t>
      </w:r>
    </w:p>
    <w:p w14:paraId="549374E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31FA660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联系人：李女士</w:t>
      </w:r>
    </w:p>
    <w:p w14:paraId="648BFF9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联系方式：18803976082</w:t>
      </w:r>
    </w:p>
    <w:p w14:paraId="160B4B0F">
      <w:pPr>
        <w:rPr>
          <w:rFonts w:ascii="楷体" w:hAnsi="楷体" w:eastAsia="楷体" w:cs="楷体"/>
          <w:b/>
          <w:bCs/>
          <w:sz w:val="32"/>
          <w:szCs w:val="32"/>
        </w:rPr>
      </w:pPr>
      <w:bookmarkStart w:id="16" w:name="_Toc2866"/>
      <w:r>
        <w:rPr>
          <w:rFonts w:hint="eastAsia" w:ascii="楷体" w:hAnsi="楷体" w:eastAsia="楷体" w:cs="楷体"/>
          <w:b/>
          <w:bCs/>
          <w:sz w:val="32"/>
          <w:szCs w:val="32"/>
        </w:rPr>
        <w:br w:type="page"/>
      </w:r>
    </w:p>
    <w:p w14:paraId="07AAB38B">
      <w:pPr>
        <w:pStyle w:val="2"/>
        <w:numPr>
          <w:ilvl w:val="0"/>
          <w:numId w:val="0"/>
        </w:numPr>
      </w:pPr>
      <w:bookmarkStart w:id="17" w:name="_Toc17724"/>
      <w:r>
        <w:rPr>
          <w:rFonts w:hint="eastAsia"/>
        </w:rPr>
        <w:t>第二章  供应商须知</w:t>
      </w:r>
      <w:bookmarkEnd w:id="4"/>
      <w:bookmarkEnd w:id="5"/>
      <w:bookmarkEnd w:id="6"/>
      <w:bookmarkEnd w:id="15"/>
      <w:bookmarkEnd w:id="16"/>
      <w:bookmarkEnd w:id="17"/>
      <w:bookmarkStart w:id="18" w:name="_Toc152045529"/>
      <w:bookmarkStart w:id="19" w:name="_Toc144974497"/>
      <w:bookmarkStart w:id="20" w:name="_Toc373911573"/>
      <w:bookmarkStart w:id="21" w:name="_Toc520356144"/>
      <w:bookmarkStart w:id="22" w:name="_Toc274572161"/>
      <w:bookmarkStart w:id="23" w:name="_Toc179632546"/>
      <w:bookmarkStart w:id="24" w:name="_Toc89569839"/>
      <w:bookmarkStart w:id="25" w:name="_Toc152042305"/>
    </w:p>
    <w:p w14:paraId="057E83C0">
      <w:pPr>
        <w:spacing w:line="360" w:lineRule="auto"/>
        <w:jc w:val="center"/>
        <w:rPr>
          <w:b/>
          <w:bCs/>
          <w:sz w:val="24"/>
          <w:szCs w:val="24"/>
        </w:rPr>
      </w:pPr>
      <w:bookmarkStart w:id="26" w:name="_Toc26445"/>
      <w:bookmarkStart w:id="27" w:name="_Toc28636"/>
      <w:bookmarkStart w:id="28" w:name="_Toc17240"/>
      <w:r>
        <w:rPr>
          <w:rFonts w:hint="eastAsia"/>
          <w:b/>
          <w:bCs/>
          <w:sz w:val="24"/>
          <w:szCs w:val="24"/>
        </w:rPr>
        <w:t>供应商须知前附表</w:t>
      </w:r>
      <w:bookmarkEnd w:id="26"/>
      <w:bookmarkEnd w:id="27"/>
      <w:bookmarkEnd w:id="28"/>
    </w:p>
    <w:tbl>
      <w:tblPr>
        <w:tblStyle w:val="2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61"/>
        <w:gridCol w:w="6830"/>
      </w:tblGrid>
      <w:tr w14:paraId="5AE71FBB">
        <w:tblPrEx>
          <w:tblCellMar>
            <w:top w:w="0" w:type="dxa"/>
            <w:left w:w="108" w:type="dxa"/>
            <w:bottom w:w="0" w:type="dxa"/>
            <w:right w:w="108" w:type="dxa"/>
          </w:tblCellMar>
        </w:tblPrEx>
        <w:trPr>
          <w:trHeight w:val="680" w:hRule="atLeast"/>
          <w:jc w:val="center"/>
        </w:trPr>
        <w:tc>
          <w:tcPr>
            <w:tcW w:w="973" w:type="dxa"/>
            <w:vAlign w:val="center"/>
          </w:tcPr>
          <w:p w14:paraId="572AC79F">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条款号</w:t>
            </w:r>
          </w:p>
        </w:tc>
        <w:tc>
          <w:tcPr>
            <w:tcW w:w="1761" w:type="dxa"/>
            <w:vAlign w:val="center"/>
          </w:tcPr>
          <w:p w14:paraId="09EC2A4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条款名称</w:t>
            </w:r>
          </w:p>
        </w:tc>
        <w:tc>
          <w:tcPr>
            <w:tcW w:w="6830" w:type="dxa"/>
            <w:vAlign w:val="center"/>
          </w:tcPr>
          <w:p w14:paraId="71334513">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编  列  内  容</w:t>
            </w:r>
          </w:p>
        </w:tc>
      </w:tr>
      <w:tr w14:paraId="3D07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68234E4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1.1.2</w:t>
            </w:r>
          </w:p>
        </w:tc>
        <w:tc>
          <w:tcPr>
            <w:tcW w:w="1761" w:type="dxa"/>
            <w:vAlign w:val="center"/>
          </w:tcPr>
          <w:p w14:paraId="0A14B6C2">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30" w:type="dxa"/>
            <w:vAlign w:val="center"/>
          </w:tcPr>
          <w:p w14:paraId="56A0A648">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名称：河南职业技术学院</w:t>
            </w:r>
          </w:p>
          <w:p w14:paraId="164BCB6E">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地址：河南省郑州市金水区龙子湖高校园区平安大道 210 号 </w:t>
            </w:r>
          </w:p>
          <w:p w14:paraId="67A15950">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联 系 人：范老师</w:t>
            </w:r>
          </w:p>
          <w:p w14:paraId="6D22CE48">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联系电话：0371-69309268</w:t>
            </w:r>
          </w:p>
        </w:tc>
      </w:tr>
      <w:tr w14:paraId="7C57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0D63CF5">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1.1.3</w:t>
            </w:r>
          </w:p>
        </w:tc>
        <w:tc>
          <w:tcPr>
            <w:tcW w:w="1761" w:type="dxa"/>
            <w:vAlign w:val="center"/>
          </w:tcPr>
          <w:p w14:paraId="6DA135BD">
            <w:pPr>
              <w:adjustRightInd w:val="0"/>
              <w:spacing w:line="288" w:lineRule="auto"/>
              <w:jc w:val="center"/>
              <w:rPr>
                <w:rFonts w:asciiTheme="minorEastAsia" w:hAnsiTheme="minorEastAsia" w:eastAsiaTheme="minorEastAsia" w:cstheme="minorEastAsia"/>
                <w:spacing w:val="-8"/>
                <w:kern w:val="0"/>
              </w:rPr>
            </w:pPr>
            <w:r>
              <w:rPr>
                <w:rFonts w:hint="eastAsia" w:asciiTheme="minorEastAsia" w:hAnsiTheme="minorEastAsia" w:eastAsiaTheme="minorEastAsia" w:cstheme="minorEastAsia"/>
                <w:spacing w:val="-8"/>
                <w:kern w:val="0"/>
              </w:rPr>
              <w:t>采购代理机构</w:t>
            </w:r>
          </w:p>
        </w:tc>
        <w:tc>
          <w:tcPr>
            <w:tcW w:w="6830" w:type="dxa"/>
            <w:vAlign w:val="center"/>
          </w:tcPr>
          <w:p w14:paraId="2EE60AC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名称：中元建设科技有限责任公司</w:t>
            </w:r>
          </w:p>
          <w:p w14:paraId="325F2387">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地址：郑州市金水区金成时代广场9号楼15楼</w:t>
            </w:r>
          </w:p>
          <w:p w14:paraId="685648AF">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联系人：李女士</w:t>
            </w:r>
          </w:p>
          <w:p w14:paraId="14F0476F">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联系方式：18803976082</w:t>
            </w:r>
          </w:p>
        </w:tc>
      </w:tr>
      <w:tr w14:paraId="640A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6B52AAE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1.1.4</w:t>
            </w:r>
          </w:p>
        </w:tc>
        <w:tc>
          <w:tcPr>
            <w:tcW w:w="1761" w:type="dxa"/>
            <w:vAlign w:val="center"/>
          </w:tcPr>
          <w:p w14:paraId="6A1299B9">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项目名称</w:t>
            </w:r>
          </w:p>
        </w:tc>
        <w:tc>
          <w:tcPr>
            <w:tcW w:w="6830" w:type="dxa"/>
            <w:vAlign w:val="center"/>
          </w:tcPr>
          <w:p w14:paraId="3071CEC7">
            <w:pPr>
              <w:spacing w:line="288"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河南职业技术学院焊接中心变配电所和中心配外网改造(合鼎楼东侧变配电所)项目</w:t>
            </w:r>
          </w:p>
        </w:tc>
      </w:tr>
      <w:tr w14:paraId="4D2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55C3C3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1.1.5</w:t>
            </w:r>
          </w:p>
        </w:tc>
        <w:tc>
          <w:tcPr>
            <w:tcW w:w="1761" w:type="dxa"/>
            <w:vAlign w:val="center"/>
          </w:tcPr>
          <w:p w14:paraId="4758EF59">
            <w:pPr>
              <w:autoSpaceDE w:val="0"/>
              <w:autoSpaceDN w:val="0"/>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rPr>
              <w:t>建设地点</w:t>
            </w:r>
          </w:p>
        </w:tc>
        <w:tc>
          <w:tcPr>
            <w:tcW w:w="6830" w:type="dxa"/>
            <w:vAlign w:val="center"/>
          </w:tcPr>
          <w:p w14:paraId="7EA4926F">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河南省郑州市龙子湖高校园区河南职业技术学院校内合鼎楼东侧</w:t>
            </w:r>
          </w:p>
        </w:tc>
      </w:tr>
      <w:tr w14:paraId="47E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01B84810">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1.2.1</w:t>
            </w:r>
          </w:p>
        </w:tc>
        <w:tc>
          <w:tcPr>
            <w:tcW w:w="1761" w:type="dxa"/>
            <w:vAlign w:val="center"/>
          </w:tcPr>
          <w:p w14:paraId="05EFCA2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预算金额</w:t>
            </w:r>
          </w:p>
        </w:tc>
        <w:tc>
          <w:tcPr>
            <w:tcW w:w="6830" w:type="dxa"/>
            <w:vAlign w:val="center"/>
          </w:tcPr>
          <w:p w14:paraId="6563B94D">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1594512.19元</w:t>
            </w:r>
          </w:p>
        </w:tc>
      </w:tr>
      <w:tr w14:paraId="6568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6AAAE69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1.2.2</w:t>
            </w:r>
          </w:p>
        </w:tc>
        <w:tc>
          <w:tcPr>
            <w:tcW w:w="1761" w:type="dxa"/>
            <w:vAlign w:val="center"/>
          </w:tcPr>
          <w:p w14:paraId="18DB847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资金来源</w:t>
            </w:r>
          </w:p>
        </w:tc>
        <w:tc>
          <w:tcPr>
            <w:tcW w:w="6830" w:type="dxa"/>
            <w:vAlign w:val="center"/>
          </w:tcPr>
          <w:p w14:paraId="05C1A7F8">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财政资金</w:t>
            </w:r>
          </w:p>
        </w:tc>
      </w:tr>
      <w:tr w14:paraId="3AD9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7F1A22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1.3.1</w:t>
            </w:r>
          </w:p>
        </w:tc>
        <w:tc>
          <w:tcPr>
            <w:tcW w:w="1761" w:type="dxa"/>
            <w:vAlign w:val="center"/>
          </w:tcPr>
          <w:p w14:paraId="60BC699C">
            <w:pPr>
              <w:autoSpaceDE w:val="0"/>
              <w:autoSpaceDN w:val="0"/>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磋商内容</w:t>
            </w:r>
          </w:p>
        </w:tc>
        <w:tc>
          <w:tcPr>
            <w:tcW w:w="6830" w:type="dxa"/>
            <w:vAlign w:val="center"/>
          </w:tcPr>
          <w:p w14:paraId="33E1BDC4">
            <w:pPr>
              <w:spacing w:line="288" w:lineRule="auto"/>
              <w:rPr>
                <w:rFonts w:asciiTheme="minorEastAsia" w:hAnsiTheme="minorEastAsia" w:eastAsiaTheme="minorEastAsia" w:cstheme="minorEastAsia"/>
              </w:rPr>
            </w:pPr>
            <w:r>
              <w:rPr>
                <w:rFonts w:asciiTheme="minorEastAsia" w:hAnsiTheme="minorEastAsia" w:eastAsiaTheme="minorEastAsia" w:cstheme="minorEastAsia"/>
              </w:rPr>
              <w:t>本次新建合鼎楼东侧变配电所包含机电实训变配电所改造、机电实训变配电所至新建变配电所之间10KV电缆敷设以及区域内各高低压设备、照明设备、电缆桥架、防雷接地等系统安装调式等。</w:t>
            </w:r>
          </w:p>
        </w:tc>
      </w:tr>
      <w:tr w14:paraId="15FC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58C760C">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1.3.2</w:t>
            </w:r>
          </w:p>
        </w:tc>
        <w:tc>
          <w:tcPr>
            <w:tcW w:w="1761" w:type="dxa"/>
            <w:vAlign w:val="center"/>
          </w:tcPr>
          <w:p w14:paraId="6D82A374">
            <w:pPr>
              <w:autoSpaceDE w:val="0"/>
              <w:autoSpaceDN w:val="0"/>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计划工期</w:t>
            </w:r>
          </w:p>
        </w:tc>
        <w:tc>
          <w:tcPr>
            <w:tcW w:w="6830" w:type="dxa"/>
            <w:vAlign w:val="center"/>
          </w:tcPr>
          <w:p w14:paraId="7D872662">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90日历天</w:t>
            </w:r>
          </w:p>
        </w:tc>
      </w:tr>
      <w:tr w14:paraId="35B9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5C5CECA">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1.3.3</w:t>
            </w:r>
          </w:p>
        </w:tc>
        <w:tc>
          <w:tcPr>
            <w:tcW w:w="1761" w:type="dxa"/>
            <w:vAlign w:val="center"/>
          </w:tcPr>
          <w:p w14:paraId="36E30A1D">
            <w:pPr>
              <w:autoSpaceDE w:val="0"/>
              <w:autoSpaceDN w:val="0"/>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缺陷责任期</w:t>
            </w:r>
          </w:p>
        </w:tc>
        <w:tc>
          <w:tcPr>
            <w:tcW w:w="6830" w:type="dxa"/>
            <w:vAlign w:val="center"/>
          </w:tcPr>
          <w:p w14:paraId="409D3238">
            <w:pPr>
              <w:autoSpaceDE w:val="0"/>
              <w:autoSpaceDN w:val="0"/>
              <w:adjustRightInd w:val="0"/>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自竣工验收合格之日起</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w:t>
            </w:r>
          </w:p>
        </w:tc>
      </w:tr>
      <w:tr w14:paraId="0B53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C6108AA">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1.3.4</w:t>
            </w:r>
          </w:p>
        </w:tc>
        <w:tc>
          <w:tcPr>
            <w:tcW w:w="1761" w:type="dxa"/>
            <w:vAlign w:val="center"/>
          </w:tcPr>
          <w:p w14:paraId="331EA2A9">
            <w:pPr>
              <w:autoSpaceDE w:val="0"/>
              <w:autoSpaceDN w:val="0"/>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质量标准</w:t>
            </w:r>
          </w:p>
        </w:tc>
        <w:tc>
          <w:tcPr>
            <w:tcW w:w="6830" w:type="dxa"/>
            <w:vAlign w:val="center"/>
          </w:tcPr>
          <w:p w14:paraId="42A4A39E">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工程质量符合国家、省、市有关工程施工方面的规范、文件规定的内容，满足使用要求，达到国家相关部门有关施工质量验收规范的合格标准。</w:t>
            </w:r>
          </w:p>
        </w:tc>
      </w:tr>
      <w:tr w14:paraId="3227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D8B3AD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1.4.1</w:t>
            </w:r>
          </w:p>
        </w:tc>
        <w:tc>
          <w:tcPr>
            <w:tcW w:w="1761" w:type="dxa"/>
            <w:vAlign w:val="center"/>
          </w:tcPr>
          <w:p w14:paraId="7D0480D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供应商资格要求</w:t>
            </w:r>
          </w:p>
        </w:tc>
        <w:tc>
          <w:tcPr>
            <w:tcW w:w="6830" w:type="dxa"/>
            <w:vAlign w:val="center"/>
          </w:tcPr>
          <w:p w14:paraId="62E01113">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详见竞争性磋商公告“二、申请人资格要求”</w:t>
            </w:r>
          </w:p>
        </w:tc>
      </w:tr>
      <w:tr w14:paraId="6F8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A2E0CE3">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1.4.2</w:t>
            </w:r>
          </w:p>
        </w:tc>
        <w:tc>
          <w:tcPr>
            <w:tcW w:w="1761" w:type="dxa"/>
            <w:vAlign w:val="center"/>
          </w:tcPr>
          <w:p w14:paraId="7A3F45C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是否接受联合体磋商</w:t>
            </w:r>
          </w:p>
        </w:tc>
        <w:tc>
          <w:tcPr>
            <w:tcW w:w="6830" w:type="dxa"/>
            <w:vAlign w:val="center"/>
          </w:tcPr>
          <w:p w14:paraId="0D88CD51">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不接受</w:t>
            </w:r>
          </w:p>
        </w:tc>
      </w:tr>
      <w:tr w14:paraId="049B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0CA73F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1.9.1</w:t>
            </w:r>
          </w:p>
        </w:tc>
        <w:tc>
          <w:tcPr>
            <w:tcW w:w="1761" w:type="dxa"/>
            <w:vAlign w:val="center"/>
          </w:tcPr>
          <w:p w14:paraId="6087291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潜在供应商现场考察或者召开开标前答疑会</w:t>
            </w:r>
          </w:p>
        </w:tc>
        <w:tc>
          <w:tcPr>
            <w:tcW w:w="6830" w:type="dxa"/>
            <w:vAlign w:val="center"/>
          </w:tcPr>
          <w:p w14:paraId="632A457E">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不召开</w:t>
            </w:r>
          </w:p>
        </w:tc>
      </w:tr>
      <w:tr w14:paraId="18EB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BE2880C">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1.10</w:t>
            </w:r>
          </w:p>
        </w:tc>
        <w:tc>
          <w:tcPr>
            <w:tcW w:w="1761" w:type="dxa"/>
            <w:vAlign w:val="center"/>
          </w:tcPr>
          <w:p w14:paraId="724E5BF2">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分包</w:t>
            </w:r>
          </w:p>
        </w:tc>
        <w:tc>
          <w:tcPr>
            <w:tcW w:w="6830" w:type="dxa"/>
            <w:vAlign w:val="center"/>
          </w:tcPr>
          <w:p w14:paraId="2ECA3C6C">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不允许</w:t>
            </w:r>
          </w:p>
        </w:tc>
      </w:tr>
      <w:tr w14:paraId="206A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055117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1.11.1</w:t>
            </w:r>
          </w:p>
        </w:tc>
        <w:tc>
          <w:tcPr>
            <w:tcW w:w="1761" w:type="dxa"/>
            <w:vAlign w:val="center"/>
          </w:tcPr>
          <w:p w14:paraId="1A84A26F">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实质性要求和条件</w:t>
            </w:r>
          </w:p>
        </w:tc>
        <w:tc>
          <w:tcPr>
            <w:tcW w:w="6830" w:type="dxa"/>
            <w:vAlign w:val="center"/>
          </w:tcPr>
          <w:p w14:paraId="702E8B7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本前附表 1.3.2 、1.3.3 、1.3.4 、1.4. 1 款要求</w:t>
            </w:r>
          </w:p>
        </w:tc>
      </w:tr>
      <w:tr w14:paraId="2450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0707FF7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2.1</w:t>
            </w:r>
          </w:p>
        </w:tc>
        <w:tc>
          <w:tcPr>
            <w:tcW w:w="1761" w:type="dxa"/>
            <w:vAlign w:val="center"/>
          </w:tcPr>
          <w:p w14:paraId="1FE810A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构成竞争性磋商文件的其他材料</w:t>
            </w:r>
          </w:p>
        </w:tc>
        <w:tc>
          <w:tcPr>
            <w:tcW w:w="6830" w:type="dxa"/>
            <w:vAlign w:val="center"/>
          </w:tcPr>
          <w:p w14:paraId="2A5B24F0">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除竞争性磋商文件外，采购人在磋商期间发出的澄清、修改、补充、补遗和其他有效正式函件等内容均是竞争性磋商文件的组成部分</w:t>
            </w:r>
          </w:p>
        </w:tc>
      </w:tr>
      <w:tr w14:paraId="6E40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A08FD3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1761" w:type="dxa"/>
          </w:tcPr>
          <w:p w14:paraId="5B7DE990">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供应商对磋商文件的疑问</w:t>
            </w:r>
          </w:p>
        </w:tc>
        <w:tc>
          <w:tcPr>
            <w:tcW w:w="6830" w:type="dxa"/>
          </w:tcPr>
          <w:p w14:paraId="172DB830">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时间：提交响应文件截止之日 3 天前</w:t>
            </w:r>
          </w:p>
          <w:p w14:paraId="6519E00A">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形式：河南省公共资源交易中心平台提出</w:t>
            </w:r>
          </w:p>
        </w:tc>
      </w:tr>
      <w:tr w14:paraId="0CFC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30F056BC">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2.2.2</w:t>
            </w:r>
          </w:p>
        </w:tc>
        <w:tc>
          <w:tcPr>
            <w:tcW w:w="1761" w:type="dxa"/>
          </w:tcPr>
          <w:p w14:paraId="5C72383F">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磋商文件澄清发出的形式</w:t>
            </w:r>
          </w:p>
        </w:tc>
        <w:tc>
          <w:tcPr>
            <w:tcW w:w="6830" w:type="dxa"/>
            <w:vAlign w:val="center"/>
          </w:tcPr>
          <w:p w14:paraId="1EE7D907">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河南省公共资源交易中心平台河南省政府采购网</w:t>
            </w:r>
          </w:p>
        </w:tc>
      </w:tr>
      <w:tr w14:paraId="03C4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07F3CCF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2.2.3</w:t>
            </w:r>
          </w:p>
        </w:tc>
        <w:tc>
          <w:tcPr>
            <w:tcW w:w="1761" w:type="dxa"/>
            <w:vAlign w:val="center"/>
          </w:tcPr>
          <w:p w14:paraId="0AAD34B3">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kern w:val="0"/>
              </w:rPr>
              <w:t>供应商</w:t>
            </w:r>
            <w:r>
              <w:rPr>
                <w:rFonts w:hint="eastAsia" w:asciiTheme="minorEastAsia" w:hAnsiTheme="minorEastAsia" w:eastAsiaTheme="minorEastAsia" w:cstheme="minorEastAsia"/>
              </w:rPr>
              <w:t>确认收到竞争性磋商文件澄清</w:t>
            </w:r>
          </w:p>
        </w:tc>
        <w:tc>
          <w:tcPr>
            <w:tcW w:w="6830" w:type="dxa"/>
            <w:vAlign w:val="center"/>
          </w:tcPr>
          <w:p w14:paraId="1B4A8943">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所有澄清均通过河南省公共资源交易中心平台、河南省政府采购网发布，一经发布即视为供应商已收到并确认，请各供应商及时关注本项目通过河南省公共资源交易中心网站发出的通知，如有遗漏自行负责。</w:t>
            </w:r>
          </w:p>
        </w:tc>
      </w:tr>
      <w:tr w14:paraId="6916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3FC5CF0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2.3.1</w:t>
            </w:r>
          </w:p>
        </w:tc>
        <w:tc>
          <w:tcPr>
            <w:tcW w:w="1761" w:type="dxa"/>
            <w:vAlign w:val="center"/>
          </w:tcPr>
          <w:p w14:paraId="6F401AF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磋商文件修改发出的形式</w:t>
            </w:r>
          </w:p>
        </w:tc>
        <w:tc>
          <w:tcPr>
            <w:tcW w:w="6830" w:type="dxa"/>
            <w:vAlign w:val="center"/>
          </w:tcPr>
          <w:p w14:paraId="4DD729D2">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河南省公共资源交易中心平台 </w:t>
            </w:r>
          </w:p>
          <w:p w14:paraId="06A0B9DB">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河南省政府采购网</w:t>
            </w:r>
          </w:p>
        </w:tc>
      </w:tr>
      <w:tr w14:paraId="6920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4143A6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2.3.2</w:t>
            </w:r>
          </w:p>
        </w:tc>
        <w:tc>
          <w:tcPr>
            <w:tcW w:w="1761" w:type="dxa"/>
            <w:vAlign w:val="center"/>
          </w:tcPr>
          <w:p w14:paraId="6EB4873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供应商确认收到磋商文件修改</w:t>
            </w:r>
          </w:p>
        </w:tc>
        <w:tc>
          <w:tcPr>
            <w:tcW w:w="6830" w:type="dxa"/>
            <w:vAlign w:val="center"/>
          </w:tcPr>
          <w:p w14:paraId="54DA9C71">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所有修改均通过河南省公共资源交易中心平台、河南省政府采购网发布，一经发布即视为供应商已收到并确认，请各供应商及时关注本项目通过河南省公共资源交易中心网站发出的通知，如有遗漏自行负责。</w:t>
            </w:r>
          </w:p>
        </w:tc>
      </w:tr>
      <w:tr w14:paraId="5773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2B6B8F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3.1.1</w:t>
            </w:r>
          </w:p>
        </w:tc>
        <w:tc>
          <w:tcPr>
            <w:tcW w:w="1761" w:type="dxa"/>
            <w:vAlign w:val="center"/>
          </w:tcPr>
          <w:p w14:paraId="1504FA0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构成响应文件的</w:t>
            </w:r>
          </w:p>
          <w:p w14:paraId="281F183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其他材料</w:t>
            </w:r>
          </w:p>
        </w:tc>
        <w:tc>
          <w:tcPr>
            <w:tcW w:w="6830" w:type="dxa"/>
            <w:vAlign w:val="center"/>
          </w:tcPr>
          <w:p w14:paraId="319DCDFE">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供应商认为需要递交的其他证明材料</w:t>
            </w:r>
          </w:p>
        </w:tc>
      </w:tr>
      <w:tr w14:paraId="74A0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15F6E5B1">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3.2.5</w:t>
            </w:r>
          </w:p>
        </w:tc>
        <w:tc>
          <w:tcPr>
            <w:tcW w:w="1761" w:type="dxa"/>
            <w:vAlign w:val="center"/>
          </w:tcPr>
          <w:p w14:paraId="443034A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6830" w:type="dxa"/>
            <w:vAlign w:val="center"/>
          </w:tcPr>
          <w:p w14:paraId="74EEDBA6">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1594512.19元</w:t>
            </w:r>
          </w:p>
          <w:p w14:paraId="3D0CE21A">
            <w:pPr>
              <w:spacing w:line="288" w:lineRule="auto"/>
              <w:rPr>
                <w:rFonts w:asciiTheme="minorEastAsia" w:hAnsiTheme="minorEastAsia" w:eastAsiaTheme="minorEastAsia" w:cstheme="minorEastAsia"/>
              </w:rPr>
            </w:pPr>
            <w:r>
              <w:rPr>
                <w:rFonts w:asciiTheme="minorEastAsia" w:hAnsiTheme="minorEastAsia" w:eastAsiaTheme="minorEastAsia" w:cstheme="minorEastAsia"/>
              </w:rPr>
              <w:t>最高限价是采购人控制工程造价的最高限价，磋商报价大于最高限价的视为无效报价，按无效标处理</w:t>
            </w:r>
            <w:r>
              <w:rPr>
                <w:rFonts w:hint="eastAsia" w:asciiTheme="minorEastAsia" w:hAnsiTheme="minorEastAsia" w:eastAsiaTheme="minorEastAsia" w:cstheme="minorEastAsia"/>
              </w:rPr>
              <w:t>。</w:t>
            </w:r>
          </w:p>
        </w:tc>
      </w:tr>
      <w:tr w14:paraId="39CF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1C816BD">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3.2.6</w:t>
            </w:r>
          </w:p>
        </w:tc>
        <w:tc>
          <w:tcPr>
            <w:tcW w:w="1761" w:type="dxa"/>
            <w:vAlign w:val="center"/>
          </w:tcPr>
          <w:p w14:paraId="390253C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磋商报价的其他要求</w:t>
            </w:r>
          </w:p>
        </w:tc>
        <w:tc>
          <w:tcPr>
            <w:tcW w:w="6830" w:type="dxa"/>
            <w:vAlign w:val="center"/>
          </w:tcPr>
          <w:p w14:paraId="34C78C10">
            <w:pPr>
              <w:spacing w:line="288" w:lineRule="auto"/>
              <w:rPr>
                <w:rFonts w:asciiTheme="minorEastAsia" w:hAnsiTheme="minorEastAsia" w:eastAsiaTheme="minorEastAsia" w:cstheme="minorEastAsia"/>
              </w:rPr>
            </w:pPr>
            <w:r>
              <w:rPr>
                <w:rFonts w:asciiTheme="minorEastAsia" w:hAnsiTheme="minorEastAsia" w:eastAsiaTheme="minorEastAsia" w:cstheme="minorEastAsia"/>
              </w:rPr>
              <w:t>磋商小组认为供应商的报价明显低于其他通过符合性审查供应商的报价，有可能影响产品质量或者不能诚信履约的，应当要求其在评审现场合理的时间内提供书面说明，并提交相关证明材料；供应商不能合理说明或不能提交有力证明材料证明其报价合理性的，磋商小组应当将其作为无效投标处理。</w:t>
            </w:r>
          </w:p>
        </w:tc>
      </w:tr>
      <w:tr w14:paraId="4084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166D619E">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3.3.1</w:t>
            </w:r>
          </w:p>
        </w:tc>
        <w:tc>
          <w:tcPr>
            <w:tcW w:w="1761" w:type="dxa"/>
            <w:vAlign w:val="center"/>
          </w:tcPr>
          <w:p w14:paraId="174CE70C">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磋商有效期</w:t>
            </w:r>
          </w:p>
        </w:tc>
        <w:tc>
          <w:tcPr>
            <w:tcW w:w="6830" w:type="dxa"/>
            <w:vAlign w:val="center"/>
          </w:tcPr>
          <w:p w14:paraId="482B9AA1">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提交首次响应文件截止之日起 60 日历天</w:t>
            </w:r>
          </w:p>
        </w:tc>
      </w:tr>
      <w:tr w14:paraId="0292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822934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3.4</w:t>
            </w:r>
          </w:p>
        </w:tc>
        <w:tc>
          <w:tcPr>
            <w:tcW w:w="1761" w:type="dxa"/>
            <w:vAlign w:val="center"/>
          </w:tcPr>
          <w:p w14:paraId="2751A507">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磋商保证金</w:t>
            </w:r>
          </w:p>
        </w:tc>
        <w:tc>
          <w:tcPr>
            <w:tcW w:w="6830" w:type="dxa"/>
            <w:vAlign w:val="center"/>
          </w:tcPr>
          <w:p w14:paraId="45C79988">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根据河南省豫财购【2019】4号文规定，本项目不收取磋商保证金，需提供磋商承诺函及招标代理服务费承诺函，具体格式详见第八章响应文件格式，未按磋商文件规定提交磋商承诺函及招标代理服务费承诺函的均视为无效投标</w:t>
            </w:r>
          </w:p>
        </w:tc>
      </w:tr>
      <w:tr w14:paraId="109D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009D20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3.5</w:t>
            </w:r>
          </w:p>
        </w:tc>
        <w:tc>
          <w:tcPr>
            <w:tcW w:w="1761" w:type="dxa"/>
            <w:vAlign w:val="center"/>
          </w:tcPr>
          <w:p w14:paraId="183BAB6F">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资格审查资料的特殊要求</w:t>
            </w:r>
          </w:p>
        </w:tc>
        <w:tc>
          <w:tcPr>
            <w:tcW w:w="6830" w:type="dxa"/>
            <w:vAlign w:val="center"/>
          </w:tcPr>
          <w:p w14:paraId="03980C63">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无</w:t>
            </w:r>
          </w:p>
        </w:tc>
      </w:tr>
      <w:tr w14:paraId="1677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2B0C9E1">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3.6</w:t>
            </w:r>
          </w:p>
        </w:tc>
        <w:tc>
          <w:tcPr>
            <w:tcW w:w="1761" w:type="dxa"/>
            <w:vAlign w:val="center"/>
          </w:tcPr>
          <w:p w14:paraId="7CC50DC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是否允许提交备选磋商方案</w:t>
            </w:r>
          </w:p>
        </w:tc>
        <w:tc>
          <w:tcPr>
            <w:tcW w:w="6830" w:type="dxa"/>
            <w:vAlign w:val="center"/>
          </w:tcPr>
          <w:p w14:paraId="59014057">
            <w:pPr>
              <w:adjustRightInd w:val="0"/>
              <w:spacing w:line="288" w:lineRule="auto"/>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不允许</w:t>
            </w:r>
          </w:p>
        </w:tc>
      </w:tr>
      <w:tr w14:paraId="0999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65D0C1BD">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3.7.3（1）</w:t>
            </w:r>
          </w:p>
        </w:tc>
        <w:tc>
          <w:tcPr>
            <w:tcW w:w="1761" w:type="dxa"/>
            <w:vAlign w:val="center"/>
          </w:tcPr>
          <w:p w14:paraId="372E9071">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响应文件所附证书证件要求</w:t>
            </w:r>
          </w:p>
        </w:tc>
        <w:tc>
          <w:tcPr>
            <w:tcW w:w="6830" w:type="dxa"/>
            <w:vAlign w:val="center"/>
          </w:tcPr>
          <w:p w14:paraId="0426640C">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复印件或扫描件</w:t>
            </w:r>
          </w:p>
        </w:tc>
      </w:tr>
      <w:tr w14:paraId="0299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B46FF9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3.7.3（2）</w:t>
            </w:r>
          </w:p>
        </w:tc>
        <w:tc>
          <w:tcPr>
            <w:tcW w:w="1761" w:type="dxa"/>
            <w:vAlign w:val="center"/>
          </w:tcPr>
          <w:p w14:paraId="33EE867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响应文件签字或盖章要求</w:t>
            </w:r>
          </w:p>
        </w:tc>
        <w:tc>
          <w:tcPr>
            <w:tcW w:w="6830" w:type="dxa"/>
            <w:vAlign w:val="center"/>
          </w:tcPr>
          <w:p w14:paraId="61A16809">
            <w:pPr>
              <w:pStyle w:val="46"/>
              <w:spacing w:line="288" w:lineRule="auto"/>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1、供应商在制作响应文件时，应将磋商文件格式中明确签字盖章的内容电子签章或加盖公章（包括企业电子签章或公章、个人电子签章或签名）。</w:t>
            </w:r>
          </w:p>
          <w:p w14:paraId="5A495D63">
            <w:pPr>
              <w:pStyle w:val="46"/>
              <w:spacing w:line="288" w:lineRule="auto"/>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2、已标价工程量清单扉页应加盖本单位造价人员执业资格印章或附咨询单位协议书和造价人员执业资格印章。</w:t>
            </w:r>
          </w:p>
        </w:tc>
      </w:tr>
      <w:tr w14:paraId="1FFA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3EA164F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4.1.1</w:t>
            </w:r>
          </w:p>
        </w:tc>
        <w:tc>
          <w:tcPr>
            <w:tcW w:w="1761" w:type="dxa"/>
            <w:vAlign w:val="center"/>
          </w:tcPr>
          <w:p w14:paraId="4E6BF928">
            <w:pPr>
              <w:spacing w:line="288" w:lineRule="auto"/>
              <w:jc w:val="center"/>
              <w:rPr>
                <w:rFonts w:asciiTheme="minorEastAsia" w:hAnsiTheme="minorEastAsia" w:eastAsiaTheme="minorEastAsia" w:cstheme="minorEastAsia"/>
                <w:spacing w:val="-10"/>
              </w:rPr>
            </w:pPr>
            <w:r>
              <w:rPr>
                <w:rFonts w:hint="eastAsia" w:asciiTheme="minorEastAsia" w:hAnsiTheme="minorEastAsia" w:eastAsiaTheme="minorEastAsia" w:cstheme="minorEastAsia"/>
              </w:rPr>
              <w:t>响应文件加密要求</w:t>
            </w:r>
          </w:p>
        </w:tc>
        <w:tc>
          <w:tcPr>
            <w:tcW w:w="6830" w:type="dxa"/>
            <w:vAlign w:val="center"/>
          </w:tcPr>
          <w:p w14:paraId="11C5ADF6">
            <w:pPr>
              <w:pStyle w:val="48"/>
              <w:spacing w:line="288" w:lineRule="auto"/>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加密的电子响应文件为“河南省公共资源交易中心网站 ”网站提供的“ 响应文件制作工具 ”软件制作生成的加密版响应文件。</w:t>
            </w:r>
          </w:p>
        </w:tc>
      </w:tr>
      <w:tr w14:paraId="5239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15C3AD27">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4.2.1</w:t>
            </w:r>
          </w:p>
        </w:tc>
        <w:tc>
          <w:tcPr>
            <w:tcW w:w="1761" w:type="dxa"/>
            <w:vAlign w:val="center"/>
          </w:tcPr>
          <w:p w14:paraId="713CF72E">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提交首次响应文件截止时间</w:t>
            </w:r>
          </w:p>
        </w:tc>
        <w:tc>
          <w:tcPr>
            <w:tcW w:w="6830" w:type="dxa"/>
            <w:vAlign w:val="center"/>
          </w:tcPr>
          <w:p w14:paraId="47C2343A">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2025年11月0</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日09时00分</w:t>
            </w:r>
          </w:p>
        </w:tc>
      </w:tr>
      <w:tr w14:paraId="2A9E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3E23663E">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4.2.2</w:t>
            </w:r>
          </w:p>
        </w:tc>
        <w:tc>
          <w:tcPr>
            <w:tcW w:w="1761" w:type="dxa"/>
            <w:vAlign w:val="center"/>
          </w:tcPr>
          <w:p w14:paraId="4C50027A">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提交首次响应文件地点</w:t>
            </w:r>
          </w:p>
        </w:tc>
        <w:tc>
          <w:tcPr>
            <w:tcW w:w="6830" w:type="dxa"/>
            <w:vAlign w:val="center"/>
          </w:tcPr>
          <w:p w14:paraId="090DE7BC">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河南省公共资源交易中心（http://hnsggzyjy.henan.gov.cn/）电子交易平台</w:t>
            </w:r>
          </w:p>
        </w:tc>
      </w:tr>
      <w:tr w14:paraId="4DD2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3538DED">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4.2.3</w:t>
            </w:r>
          </w:p>
        </w:tc>
        <w:tc>
          <w:tcPr>
            <w:tcW w:w="1761" w:type="dxa"/>
            <w:vAlign w:val="center"/>
          </w:tcPr>
          <w:p w14:paraId="2958F6AF">
            <w:pPr>
              <w:spacing w:line="288" w:lineRule="auto"/>
              <w:jc w:val="center"/>
              <w:rPr>
                <w:rFonts w:asciiTheme="minorEastAsia" w:hAnsiTheme="minorEastAsia" w:eastAsiaTheme="minorEastAsia" w:cstheme="minorEastAsia"/>
                <w:spacing w:val="-10"/>
              </w:rPr>
            </w:pPr>
            <w:r>
              <w:rPr>
                <w:rFonts w:hint="eastAsia" w:asciiTheme="minorEastAsia" w:hAnsiTheme="minorEastAsia" w:eastAsiaTheme="minorEastAsia" w:cstheme="minorEastAsia"/>
              </w:rPr>
              <w:t>是否退还响应文件</w:t>
            </w:r>
          </w:p>
        </w:tc>
        <w:tc>
          <w:tcPr>
            <w:tcW w:w="6830" w:type="dxa"/>
            <w:vAlign w:val="center"/>
          </w:tcPr>
          <w:p w14:paraId="138484EB">
            <w:pPr>
              <w:spacing w:line="288" w:lineRule="auto"/>
              <w:jc w:val="left"/>
              <w:rPr>
                <w:rFonts w:asciiTheme="minorEastAsia" w:hAnsiTheme="minorEastAsia" w:eastAsiaTheme="minorEastAsia" w:cstheme="minorEastAsia"/>
                <w:snapToGrid w:val="0"/>
              </w:rPr>
            </w:pPr>
            <w:r>
              <w:rPr>
                <w:rFonts w:hint="eastAsia" w:asciiTheme="minorEastAsia" w:hAnsiTheme="minorEastAsia" w:eastAsiaTheme="minorEastAsia" w:cstheme="minorEastAsia"/>
              </w:rPr>
              <w:t>否</w:t>
            </w:r>
          </w:p>
        </w:tc>
      </w:tr>
      <w:tr w14:paraId="2846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56D8BB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5.1</w:t>
            </w:r>
          </w:p>
        </w:tc>
        <w:tc>
          <w:tcPr>
            <w:tcW w:w="1761" w:type="dxa"/>
            <w:vAlign w:val="center"/>
          </w:tcPr>
          <w:p w14:paraId="1A26965B">
            <w:pPr>
              <w:spacing w:line="288" w:lineRule="auto"/>
              <w:jc w:val="center"/>
              <w:rPr>
                <w:rFonts w:asciiTheme="minorEastAsia" w:hAnsiTheme="minorEastAsia" w:eastAsiaTheme="minorEastAsia" w:cstheme="minorEastAsia"/>
                <w:spacing w:val="-10"/>
              </w:rPr>
            </w:pPr>
            <w:r>
              <w:rPr>
                <w:rFonts w:hint="eastAsia" w:asciiTheme="minorEastAsia" w:hAnsiTheme="minorEastAsia" w:eastAsiaTheme="minorEastAsia" w:cstheme="minorEastAsia"/>
              </w:rPr>
              <w:t>磋商时间和地点</w:t>
            </w:r>
          </w:p>
        </w:tc>
        <w:tc>
          <w:tcPr>
            <w:tcW w:w="6830" w:type="dxa"/>
            <w:vAlign w:val="center"/>
          </w:tcPr>
          <w:p w14:paraId="1B65C353">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磋商时间：提交首次响应文件截止时间</w:t>
            </w:r>
          </w:p>
          <w:p w14:paraId="14C94C2E">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rPr>
              <w:t>磋商地点：提交首次响应文件地点</w:t>
            </w:r>
          </w:p>
        </w:tc>
      </w:tr>
      <w:tr w14:paraId="265C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01F7A691">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5.2</w:t>
            </w:r>
          </w:p>
        </w:tc>
        <w:tc>
          <w:tcPr>
            <w:tcW w:w="1761" w:type="dxa"/>
            <w:vAlign w:val="center"/>
          </w:tcPr>
          <w:p w14:paraId="38822F7D">
            <w:pPr>
              <w:spacing w:line="288" w:lineRule="auto"/>
              <w:jc w:val="center"/>
              <w:rPr>
                <w:rFonts w:asciiTheme="minorEastAsia" w:hAnsiTheme="minorEastAsia" w:eastAsiaTheme="minorEastAsia" w:cstheme="minorEastAsia"/>
                <w:spacing w:val="-10"/>
              </w:rPr>
            </w:pPr>
            <w:r>
              <w:rPr>
                <w:rFonts w:hint="eastAsia" w:asciiTheme="minorEastAsia" w:hAnsiTheme="minorEastAsia" w:eastAsiaTheme="minorEastAsia" w:cstheme="minorEastAsia"/>
              </w:rPr>
              <w:t>磋商程序</w:t>
            </w:r>
          </w:p>
        </w:tc>
        <w:tc>
          <w:tcPr>
            <w:tcW w:w="6830" w:type="dxa"/>
            <w:vAlign w:val="center"/>
          </w:tcPr>
          <w:p w14:paraId="51136D1F">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1、本项目采用“远程不见面”磋商方式,远程开标大厅的网址</w:t>
            </w:r>
          </w:p>
          <w:p w14:paraId="3CB4904C">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http://hnsggzyjy.henan.gov.cn/BidOpening/bidopeninghallaction/hall/login）,供应商应当在竞争性磋商文件确定的响应文件递交截止时间前,登录远程开标大厅,在线准时参加磋商活动并进行文件解密、答疑澄清等。逾期解密或者没有准时在线参加磋商活动导致的一切后果供应商自行承担。如果磋商现场解密时间有调整，以系统提示为准。请各供应商在响应文件递交截止时间后，时刻注意系统提示，避免错过解密时间、二次报价等。</w:t>
            </w:r>
          </w:p>
          <w:p w14:paraId="6BE596E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2、各供应商应仔细阅读河南省公共资源交易中心网站“公共服务--办事指南”专区的《新交易平台使用手册（培训资料）》”。</w:t>
            </w:r>
          </w:p>
        </w:tc>
      </w:tr>
      <w:tr w14:paraId="274F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0C01130C">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6.1.1</w:t>
            </w:r>
          </w:p>
        </w:tc>
        <w:tc>
          <w:tcPr>
            <w:tcW w:w="1761" w:type="dxa"/>
            <w:vAlign w:val="center"/>
          </w:tcPr>
          <w:p w14:paraId="74EB2EEC">
            <w:pPr>
              <w:spacing w:line="288" w:lineRule="auto"/>
              <w:jc w:val="center"/>
              <w:rPr>
                <w:rFonts w:asciiTheme="minorEastAsia" w:hAnsiTheme="minorEastAsia" w:eastAsiaTheme="minorEastAsia" w:cstheme="minorEastAsia"/>
                <w:spacing w:val="-10"/>
              </w:rPr>
            </w:pPr>
            <w:r>
              <w:rPr>
                <w:rFonts w:hint="eastAsia" w:asciiTheme="minorEastAsia" w:hAnsiTheme="minorEastAsia" w:eastAsiaTheme="minorEastAsia" w:cstheme="minorEastAsia"/>
              </w:rPr>
              <w:t>磋商小组成员的组建</w:t>
            </w:r>
          </w:p>
        </w:tc>
        <w:tc>
          <w:tcPr>
            <w:tcW w:w="6830" w:type="dxa"/>
            <w:vAlign w:val="center"/>
          </w:tcPr>
          <w:p w14:paraId="3AFC748C">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（1）磋商小组成员构成：由采购人代表和评审专家共3人以上单数组成，其中评审专家人数不得少于磋商小组成员总数的2/3；</w:t>
            </w:r>
          </w:p>
          <w:p w14:paraId="4712ED51">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rPr>
              <w:t>（2）磋商小组确定方式：评审专家应在磋商前从河南省政府采购评审专家库中随机抽取。</w:t>
            </w:r>
          </w:p>
        </w:tc>
      </w:tr>
      <w:tr w14:paraId="7921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FDA75FA">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6.3.7</w:t>
            </w:r>
          </w:p>
        </w:tc>
        <w:tc>
          <w:tcPr>
            <w:tcW w:w="1761" w:type="dxa"/>
            <w:vAlign w:val="center"/>
          </w:tcPr>
          <w:p w14:paraId="592E656A">
            <w:pPr>
              <w:spacing w:line="288" w:lineRule="auto"/>
              <w:jc w:val="center"/>
              <w:rPr>
                <w:rFonts w:asciiTheme="minorEastAsia" w:hAnsiTheme="minorEastAsia" w:eastAsiaTheme="minorEastAsia" w:cstheme="minorEastAsia"/>
                <w:kern w:val="0"/>
              </w:rPr>
            </w:pPr>
            <w:r>
              <w:rPr>
                <w:rFonts w:asciiTheme="minorEastAsia" w:hAnsiTheme="minorEastAsia" w:eastAsiaTheme="minorEastAsia" w:cstheme="minorEastAsia"/>
                <w:kern w:val="0"/>
              </w:rPr>
              <w:t>磋商小组推荐成交候选供应商数量</w:t>
            </w:r>
          </w:p>
        </w:tc>
        <w:tc>
          <w:tcPr>
            <w:tcW w:w="6830" w:type="dxa"/>
            <w:vAlign w:val="center"/>
          </w:tcPr>
          <w:p w14:paraId="0BF33316">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3家</w:t>
            </w:r>
          </w:p>
        </w:tc>
      </w:tr>
      <w:tr w14:paraId="212E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26F697D3">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7.1.2. </w:t>
            </w:r>
          </w:p>
        </w:tc>
        <w:tc>
          <w:tcPr>
            <w:tcW w:w="1761" w:type="dxa"/>
            <w:vAlign w:val="center"/>
          </w:tcPr>
          <w:p w14:paraId="6A594A10">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成交公告媒介</w:t>
            </w:r>
          </w:p>
        </w:tc>
        <w:tc>
          <w:tcPr>
            <w:tcW w:w="6830" w:type="dxa"/>
            <w:vAlign w:val="center"/>
          </w:tcPr>
          <w:p w14:paraId="153BEA5D">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《河南省政府采购网》《河南省公共资源交易中心网》</w:t>
            </w:r>
          </w:p>
        </w:tc>
      </w:tr>
      <w:tr w14:paraId="3717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1FDD6E3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7.2.3</w:t>
            </w:r>
          </w:p>
        </w:tc>
        <w:tc>
          <w:tcPr>
            <w:tcW w:w="1761" w:type="dxa"/>
            <w:vAlign w:val="center"/>
          </w:tcPr>
          <w:p w14:paraId="633F2F7C">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针对同一采购程序环节的质疑次数</w:t>
            </w:r>
          </w:p>
        </w:tc>
        <w:tc>
          <w:tcPr>
            <w:tcW w:w="6830" w:type="dxa"/>
            <w:vAlign w:val="center"/>
          </w:tcPr>
          <w:p w14:paraId="7E0AC04F">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一次性提出</w:t>
            </w:r>
          </w:p>
        </w:tc>
      </w:tr>
      <w:tr w14:paraId="58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73497783">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8591" w:type="dxa"/>
            <w:gridSpan w:val="2"/>
            <w:vAlign w:val="center"/>
          </w:tcPr>
          <w:p w14:paraId="763B5A1A">
            <w:pPr>
              <w:adjustRightInd w:val="0"/>
              <w:spacing w:line="288" w:lineRule="auto"/>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需要补充的其他内容</w:t>
            </w:r>
          </w:p>
        </w:tc>
      </w:tr>
      <w:tr w14:paraId="0AD4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36C42DC2">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9.1</w:t>
            </w:r>
          </w:p>
        </w:tc>
        <w:tc>
          <w:tcPr>
            <w:tcW w:w="1761" w:type="dxa"/>
            <w:vAlign w:val="center"/>
          </w:tcPr>
          <w:p w14:paraId="763B3E6B">
            <w:pPr>
              <w:spacing w:line="288" w:lineRule="auto"/>
              <w:jc w:val="center"/>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履约保证金</w:t>
            </w:r>
          </w:p>
        </w:tc>
        <w:tc>
          <w:tcPr>
            <w:tcW w:w="6830" w:type="dxa"/>
            <w:vAlign w:val="center"/>
          </w:tcPr>
          <w:p w14:paraId="1F0CEE4A">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不收取</w:t>
            </w:r>
          </w:p>
        </w:tc>
      </w:tr>
      <w:tr w14:paraId="6760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36BE6BA">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9.2</w:t>
            </w:r>
          </w:p>
        </w:tc>
        <w:tc>
          <w:tcPr>
            <w:tcW w:w="1761" w:type="dxa"/>
            <w:vAlign w:val="center"/>
          </w:tcPr>
          <w:p w14:paraId="0E598BA8">
            <w:pPr>
              <w:spacing w:line="288" w:lineRule="auto"/>
              <w:jc w:val="center"/>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付款方式</w:t>
            </w:r>
          </w:p>
        </w:tc>
        <w:tc>
          <w:tcPr>
            <w:tcW w:w="6830" w:type="dxa"/>
            <w:vAlign w:val="center"/>
          </w:tcPr>
          <w:p w14:paraId="4BFB3728">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按合同约定支付</w:t>
            </w:r>
          </w:p>
        </w:tc>
      </w:tr>
      <w:tr w14:paraId="242C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4281D1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9.3</w:t>
            </w:r>
          </w:p>
        </w:tc>
        <w:tc>
          <w:tcPr>
            <w:tcW w:w="1761" w:type="dxa"/>
            <w:vAlign w:val="center"/>
          </w:tcPr>
          <w:p w14:paraId="1AE622F0">
            <w:pPr>
              <w:spacing w:line="288" w:lineRule="auto"/>
              <w:jc w:val="center"/>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招标代理费</w:t>
            </w:r>
          </w:p>
        </w:tc>
        <w:tc>
          <w:tcPr>
            <w:tcW w:w="6830" w:type="dxa"/>
            <w:vAlign w:val="center"/>
          </w:tcPr>
          <w:p w14:paraId="7675F28C">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本次招标代理服务费按照计价格【2002】1980 号文 、发改办价格【2003】</w:t>
            </w:r>
          </w:p>
          <w:p w14:paraId="30B1EFA9">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857 号文及发改价格【2011】534 号文件规定收取代理服务费，由中标人向招标代理机构支付；中标人在领取中标通知书前以银行转账方式向招标代理机构支付。</w:t>
            </w:r>
          </w:p>
          <w:p w14:paraId="0ED61515">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注：招标代理机构银行账户信息</w:t>
            </w:r>
          </w:p>
          <w:p w14:paraId="28856AD2">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开户名称：中元建设科技有限责任公司</w:t>
            </w:r>
          </w:p>
          <w:p w14:paraId="0252A8D4">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开户行：建行宜昌夷陵支行</w:t>
            </w:r>
          </w:p>
          <w:p w14:paraId="1C021918">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账 号 ：4220 1332 3010 5011 0255</w:t>
            </w:r>
          </w:p>
        </w:tc>
      </w:tr>
      <w:tr w14:paraId="7EA6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59445052">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9.4</w:t>
            </w:r>
          </w:p>
        </w:tc>
        <w:tc>
          <w:tcPr>
            <w:tcW w:w="8591" w:type="dxa"/>
            <w:gridSpan w:val="2"/>
            <w:vAlign w:val="center"/>
          </w:tcPr>
          <w:p w14:paraId="73FD24F3">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政府采购相关政策信息</w:t>
            </w:r>
          </w:p>
          <w:p w14:paraId="31EA67CA">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A.为贯彻落实《财政部工业和信息化部关于印发《政府采购促进中小企业发展管理办法》的通知》（财库〔2020〕46 号）和《关于进一步加大政府采购支持中小企业力度的通知》（财库〔2022〕19 号），本项目鼓励中小企业参与，供应商若是中小企业，应提交《中小企业声明函》（声明函格式详见附件），采购人将对符合本办法规定的小微企业报价给予5%的扣除，用扣除后的价格参加评审。若不能提供，则视为非中小企业，价格不予扣除。</w:t>
            </w:r>
          </w:p>
          <w:p w14:paraId="2C545A66">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B.中小企业划型标准以《工业和信息化部国家统计局国家发展改革委财政部关于印发中小企业划型标准规定的通知》（工信部联企业〔2011〕300 号）为依据。其中企业的营业收入、资产总额判定依据为最近一年度的财务审计报告，企业从业人员总数判定依据为缴纳统筹人员总数。</w:t>
            </w:r>
          </w:p>
          <w:p w14:paraId="3610BBA0">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C.根据《财政部司法部关于政府采购支持监狱企业发展有关问题的通知》（财库 [2014]68 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70BEBB43">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D.根据《财政部民政部中国残疾人联合会关于关于促进残疾人就业政府采购政策的通知》（财库〔2017〕141 号）规定，本项目支持残疾人福利性单位参与政府采购活动。符合条件的残疾人福利性单位参加本项目投标时，应当提供《残疾人福利性单位声明函》，视同小型、微型企业，享受评审中价格扣除等政府采购促进中小企业发展的政府采购政策。</w:t>
            </w:r>
          </w:p>
          <w:p w14:paraId="7615339E">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E.磋商文件的最终解释权归采购人，其它未尽事宜，按国家有关法律法规执行。</w:t>
            </w:r>
          </w:p>
        </w:tc>
      </w:tr>
      <w:tr w14:paraId="0F46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77441A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9.5</w:t>
            </w:r>
          </w:p>
        </w:tc>
        <w:tc>
          <w:tcPr>
            <w:tcW w:w="8591" w:type="dxa"/>
            <w:gridSpan w:val="2"/>
            <w:vAlign w:val="center"/>
          </w:tcPr>
          <w:p w14:paraId="46B8FF85">
            <w:pPr>
              <w:adjustRightInd w:val="0"/>
              <w:spacing w:line="288" w:lineRule="auto"/>
              <w:jc w:val="left"/>
              <w:textAlignment w:val="baseline"/>
              <w:rPr>
                <w:rFonts w:asciiTheme="minorEastAsia" w:hAnsiTheme="minorEastAsia" w:eastAsiaTheme="minorEastAsia" w:cstheme="minorEastAsia"/>
                <w:snapToGrid w:val="0"/>
              </w:rPr>
            </w:pPr>
            <w:r>
              <w:rPr>
                <w:rFonts w:hint="eastAsia" w:asciiTheme="minorEastAsia" w:hAnsiTheme="minorEastAsia" w:eastAsiaTheme="minorEastAsia" w:cstheme="minorEastAsia"/>
              </w:rPr>
              <w:t>根据省财政厅《深入推进政府采购合同融资工作实施方案》豫财办（2020）33号要求：参与政府采购活动的供应商，在成交后可以持政府采购合同向融资机构申请贷款（详见“第二章 供应商须知-附件1”）。</w:t>
            </w:r>
          </w:p>
        </w:tc>
      </w:tr>
      <w:tr w14:paraId="167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397BF9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9.6</w:t>
            </w:r>
          </w:p>
        </w:tc>
        <w:tc>
          <w:tcPr>
            <w:tcW w:w="8591" w:type="dxa"/>
            <w:gridSpan w:val="2"/>
            <w:vAlign w:val="center"/>
          </w:tcPr>
          <w:p w14:paraId="41B6B343">
            <w:pPr>
              <w:spacing w:line="288" w:lineRule="auto"/>
              <w:rPr>
                <w:rFonts w:asciiTheme="minorEastAsia" w:hAnsiTheme="minorEastAsia" w:eastAsiaTheme="minorEastAsia" w:cstheme="minorEastAsia"/>
                <w:b/>
                <w:bCs/>
                <w:snapToGrid w:val="0"/>
              </w:rPr>
            </w:pPr>
            <w:r>
              <w:rPr>
                <w:rFonts w:hint="eastAsia" w:asciiTheme="minorEastAsia" w:hAnsiTheme="minorEastAsia" w:eastAsiaTheme="minorEastAsia" w:cstheme="minorEastAsia"/>
                <w:b/>
                <w:bCs/>
                <w:snapToGrid w:val="0"/>
              </w:rPr>
              <w:t>本项目采购标的对应的中小企业划分标准所属行业为：建筑业。</w:t>
            </w:r>
          </w:p>
          <w:p w14:paraId="0662CD2D">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供应商根据《政府采购促进中小企业发展管理办法》（财库﹝2020﹞46 号）的规定执行，符合《工业和信息化部、国家统计局、国家发展和改革委员会、财政部关于印发中小企业划型标准规定的通知》（工信部联企业[2011]300 号）规定的划分标准（详见“第二章 供应商须知-附件2”），按照竞争性磋商文件要求填写中小微企业声明函。</w:t>
            </w:r>
          </w:p>
        </w:tc>
      </w:tr>
      <w:tr w14:paraId="7F9D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83FCFED">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9.7</w:t>
            </w:r>
          </w:p>
        </w:tc>
        <w:tc>
          <w:tcPr>
            <w:tcW w:w="1761" w:type="dxa"/>
            <w:vAlign w:val="center"/>
          </w:tcPr>
          <w:p w14:paraId="3C82FE40">
            <w:pPr>
              <w:adjustRightInd w:val="0"/>
              <w:spacing w:line="288" w:lineRule="auto"/>
              <w:jc w:val="center"/>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是否采用暗标评审方式</w:t>
            </w:r>
          </w:p>
        </w:tc>
        <w:tc>
          <w:tcPr>
            <w:tcW w:w="6830" w:type="dxa"/>
            <w:vAlign w:val="center"/>
          </w:tcPr>
          <w:p w14:paraId="235B25B4">
            <w:pPr>
              <w:adjustRightInd w:val="0"/>
              <w:spacing w:line="288" w:lineRule="auto"/>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不采用</w:t>
            </w:r>
          </w:p>
        </w:tc>
      </w:tr>
      <w:tr w14:paraId="734E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3DA087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9.8</w:t>
            </w:r>
          </w:p>
        </w:tc>
        <w:tc>
          <w:tcPr>
            <w:tcW w:w="1761" w:type="dxa"/>
            <w:vAlign w:val="center"/>
          </w:tcPr>
          <w:p w14:paraId="785D675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是否实行计算机辅助评标</w:t>
            </w:r>
          </w:p>
        </w:tc>
        <w:tc>
          <w:tcPr>
            <w:tcW w:w="6830" w:type="dxa"/>
            <w:vAlign w:val="center"/>
          </w:tcPr>
          <w:p w14:paraId="0A2EC4C5">
            <w:pPr>
              <w:spacing w:line="288" w:lineRule="auto"/>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是</w:t>
            </w:r>
          </w:p>
        </w:tc>
      </w:tr>
      <w:tr w14:paraId="5A4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1A5659F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9.9</w:t>
            </w:r>
          </w:p>
        </w:tc>
        <w:tc>
          <w:tcPr>
            <w:tcW w:w="8591" w:type="dxa"/>
            <w:gridSpan w:val="2"/>
            <w:vAlign w:val="center"/>
          </w:tcPr>
          <w:p w14:paraId="2C9BAE9D">
            <w:pPr>
              <w:adjustRightInd w:val="0"/>
              <w:spacing w:line="288" w:lineRule="auto"/>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知识产权</w:t>
            </w:r>
          </w:p>
          <w:p w14:paraId="4DA6ADBB">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构成本竞争性磋商文件各个组成部分的文件，未经采购人书面同意，供应商不得擅自复印和用于非本项目所需的其他目的。采购人全部或者部分使用未成交人响应文件中的技术成果或技术方案时，需征得其书面同意，并不得擅自复印或提供给第三人。</w:t>
            </w:r>
          </w:p>
        </w:tc>
      </w:tr>
      <w:tr w14:paraId="5000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49EDCB5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9.10</w:t>
            </w:r>
          </w:p>
          <w:p w14:paraId="785217FF">
            <w:pPr>
              <w:pStyle w:val="42"/>
              <w:spacing w:line="288" w:lineRule="auto"/>
              <w:jc w:val="center"/>
              <w:rPr>
                <w:rFonts w:asciiTheme="minorEastAsia" w:hAnsiTheme="minorEastAsia" w:eastAsiaTheme="minorEastAsia" w:cstheme="minorEastAsia"/>
                <w:sz w:val="21"/>
                <w:szCs w:val="21"/>
              </w:rPr>
            </w:pPr>
          </w:p>
        </w:tc>
        <w:tc>
          <w:tcPr>
            <w:tcW w:w="8591" w:type="dxa"/>
            <w:gridSpan w:val="2"/>
            <w:vAlign w:val="center"/>
          </w:tcPr>
          <w:p w14:paraId="5970BCBF">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重新采购的其他情形</w:t>
            </w:r>
          </w:p>
          <w:p w14:paraId="15E89B61">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除供应商须知正文规定的情形外，除非已经产生成交候选人，在磋商有效期内同意延长磋商有效期的供应商少于三个的，采购人应当依法重新磋商。</w:t>
            </w:r>
          </w:p>
        </w:tc>
      </w:tr>
      <w:tr w14:paraId="2CB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144CDE7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9.11</w:t>
            </w:r>
          </w:p>
        </w:tc>
        <w:tc>
          <w:tcPr>
            <w:tcW w:w="8591" w:type="dxa"/>
            <w:gridSpan w:val="2"/>
            <w:vAlign w:val="center"/>
          </w:tcPr>
          <w:p w14:paraId="431C5CF8">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解释权</w:t>
            </w:r>
          </w:p>
          <w:p w14:paraId="3C9E9D9A">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磋商阶段的规定，按竞争性磋商公告（磋商邀请书）、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56F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67DDEE7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9.12</w:t>
            </w:r>
          </w:p>
        </w:tc>
        <w:tc>
          <w:tcPr>
            <w:tcW w:w="8591" w:type="dxa"/>
            <w:gridSpan w:val="2"/>
            <w:vAlign w:val="center"/>
          </w:tcPr>
          <w:p w14:paraId="732EB7DF">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其他</w:t>
            </w:r>
          </w:p>
          <w:p w14:paraId="05D29661">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1、本项目实行电子开评标，获取竞争性磋商文件后，请供应商在“河南省公共资源交易中心（http://hnsggzyjy.henan.gov.cn/）”首页</w:t>
            </w:r>
            <w:r>
              <w:rPr>
                <w:rFonts w:hint="eastAsia" w:asciiTheme="minorEastAsia" w:hAnsiTheme="minorEastAsia" w:eastAsiaTheme="minorEastAsia" w:cstheme="minorEastAsia"/>
                <w:kern w:val="0"/>
              </w:rPr>
              <w:t>“公共服务--办事指南”专区的《新交易平台使用手册（培训资料）》</w:t>
            </w:r>
            <w:r>
              <w:rPr>
                <w:rFonts w:hint="eastAsia" w:asciiTheme="minorEastAsia" w:hAnsiTheme="minorEastAsia" w:eastAsiaTheme="minorEastAsia" w:cstheme="minorEastAsia"/>
              </w:rPr>
              <w:t>中下载最新版本的“投标文件制作工具安装包文件下载”，安装工具软件后，使用“文件查看工具”打开竞争性磋商文件认真阅读。制作电子响应文件时必须使用“投标文件制作软件”。</w:t>
            </w:r>
          </w:p>
          <w:p w14:paraId="6FA2F232">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响应文件的上传：供应商（供应商）须使用电子交易系统提供的文件制作工具进行电子文件的制作，并按要求上传经CA锁签章和加密的电子文件（.hntf格式）。</w:t>
            </w:r>
          </w:p>
          <w:p w14:paraId="287E4F60">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2、响应文件包括电子响应文件。</w:t>
            </w:r>
          </w:p>
          <w:p w14:paraId="17973129">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（1）电子版投标文件（.hntf格式或.nhntf格式）按照竞争性磋商文件要求在相应位置加盖电子签章。</w:t>
            </w:r>
          </w:p>
          <w:p w14:paraId="752E61AD">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（2）加密电子投标文件（.hntf格式），投标截止时间前通过“河南省公共资源交易中心（http://hnsggzyjy.henan.gov.cn/）”系统上传。</w:t>
            </w:r>
          </w:p>
          <w:p w14:paraId="553EF33A">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3、逾期上传/或者未上传/指定地点的响应文件，采购人不予受理。</w:t>
            </w:r>
          </w:p>
        </w:tc>
      </w:tr>
      <w:tr w14:paraId="6071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3" w:type="dxa"/>
            <w:vAlign w:val="center"/>
          </w:tcPr>
          <w:p w14:paraId="62AF278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9.13</w:t>
            </w:r>
          </w:p>
        </w:tc>
        <w:tc>
          <w:tcPr>
            <w:tcW w:w="8591" w:type="dxa"/>
            <w:gridSpan w:val="2"/>
            <w:vAlign w:val="center"/>
          </w:tcPr>
          <w:p w14:paraId="72E657EF">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p>
        </w:tc>
      </w:tr>
    </w:tbl>
    <w:p w14:paraId="3237705E">
      <w:pPr>
        <w:spacing w:line="360" w:lineRule="auto"/>
        <w:jc w:val="center"/>
        <w:rPr>
          <w:b/>
          <w:bCs/>
          <w:sz w:val="24"/>
          <w:szCs w:val="24"/>
        </w:rPr>
      </w:pPr>
      <w:r>
        <w:rPr>
          <w:rFonts w:hint="eastAsia" w:ascii="楷体" w:hAnsi="楷体" w:eastAsia="楷体" w:cs="楷体"/>
        </w:rPr>
        <w:br w:type="page"/>
      </w:r>
      <w:bookmarkStart w:id="29" w:name="_Toc152042358"/>
      <w:bookmarkStart w:id="30" w:name="_Toc179632599"/>
      <w:bookmarkStart w:id="31" w:name="_Toc152045581"/>
      <w:bookmarkStart w:id="32" w:name="_Toc144974548"/>
      <w:r>
        <w:rPr>
          <w:rFonts w:hint="eastAsia"/>
          <w:b/>
          <w:bCs/>
          <w:sz w:val="24"/>
          <w:szCs w:val="24"/>
        </w:rPr>
        <w:t>供应商须知</w:t>
      </w:r>
    </w:p>
    <w:p w14:paraId="2718C33F">
      <w:pPr>
        <w:spacing w:line="360" w:lineRule="auto"/>
        <w:ind w:firstLine="482" w:firstLineChars="200"/>
        <w:rPr>
          <w:rFonts w:asciiTheme="minorEastAsia" w:hAnsiTheme="minorEastAsia" w:eastAsiaTheme="minorEastAsia" w:cstheme="minorEastAsia"/>
          <w:b/>
          <w:bCs/>
          <w:sz w:val="24"/>
          <w:szCs w:val="24"/>
        </w:rPr>
      </w:pPr>
      <w:bookmarkStart w:id="33" w:name="bookmark9"/>
      <w:bookmarkEnd w:id="33"/>
      <w:r>
        <w:rPr>
          <w:rFonts w:hint="eastAsia" w:asciiTheme="minorEastAsia" w:hAnsiTheme="minorEastAsia" w:eastAsiaTheme="minorEastAsia" w:cstheme="minorEastAsia"/>
          <w:b/>
          <w:bCs/>
          <w:sz w:val="24"/>
          <w:szCs w:val="24"/>
        </w:rPr>
        <w:t>1.总则</w:t>
      </w:r>
    </w:p>
    <w:p w14:paraId="02A6E7C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项目概况</w:t>
      </w:r>
    </w:p>
    <w:p w14:paraId="3A88406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 《中华人民共和国政府采购法实施条例》 《政府采购竞争性磋商采购方式管理暂行办法》等有关法律法规和规章的规定，本项目已具备采购条件，现进行竞争性磋商。</w:t>
      </w:r>
    </w:p>
    <w:p w14:paraId="0628C68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采购人：见供应商须知前附表。</w:t>
      </w:r>
    </w:p>
    <w:p w14:paraId="56B2480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采购代理机构：见供应商须知前附表。</w:t>
      </w:r>
    </w:p>
    <w:p w14:paraId="4431FCA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项目名称：见供应商须知前附表。</w:t>
      </w:r>
    </w:p>
    <w:p w14:paraId="32AB4FC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建设地点：见供应商须知前附表。</w:t>
      </w:r>
    </w:p>
    <w:p w14:paraId="29788F7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预算金额和资金来源</w:t>
      </w:r>
    </w:p>
    <w:p w14:paraId="7F9DD26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预算金额：见供应商须知前附表。</w:t>
      </w:r>
    </w:p>
    <w:p w14:paraId="7BCC9E0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资金来源：见供应商须知前附表。</w:t>
      </w:r>
    </w:p>
    <w:p w14:paraId="652B03F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磋商范围、计划工期、质保期、质量标准</w:t>
      </w:r>
    </w:p>
    <w:p w14:paraId="2BC86FD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磋商范围：见供应商须知前附表。</w:t>
      </w:r>
    </w:p>
    <w:p w14:paraId="106BD78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计划工期：见供应商须知前附表。</w:t>
      </w:r>
    </w:p>
    <w:p w14:paraId="3FD0575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质保期：见供应商须知前附表</w:t>
      </w:r>
    </w:p>
    <w:p w14:paraId="52434CB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质量标准：见供应商须知前附表。</w:t>
      </w:r>
    </w:p>
    <w:p w14:paraId="0F6053D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供应商资格要求</w:t>
      </w:r>
    </w:p>
    <w:p w14:paraId="1BD5DA1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供应商应具备承担本项目资格要求见供应商须知前附表：需要提交的相关证明材料见本章第 3.5 款的规定。</w:t>
      </w:r>
    </w:p>
    <w:p w14:paraId="40C1596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是否接受联合体投标见供应商须知前附表。</w:t>
      </w:r>
    </w:p>
    <w:p w14:paraId="6B8F02C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08615B5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（1）为采购人不具有独立法人资格的附属机构（单位）；</w:t>
      </w:r>
    </w:p>
    <w:p w14:paraId="2E96D2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（2）为本项目前期准备提供设计或咨询服务的；</w:t>
      </w:r>
    </w:p>
    <w:p w14:paraId="4402963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（3）为本项目的监理人；</w:t>
      </w:r>
    </w:p>
    <w:p w14:paraId="330C57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（4）为本项目的代建人；</w:t>
      </w:r>
    </w:p>
    <w:p w14:paraId="6215409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（5）为本项目提供采购代理服务的；</w:t>
      </w:r>
    </w:p>
    <w:p w14:paraId="5556A95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（6）与本项目的监理人或代建人或采购代理机构同为一个法定代表人的；</w:t>
      </w:r>
    </w:p>
    <w:p w14:paraId="56165523">
      <w:pPr>
        <w:spacing w:line="360" w:lineRule="auto"/>
        <w:ind w:firstLine="480" w:firstLineChars="200"/>
        <w:rPr>
          <w:rFonts w:asciiTheme="minorEastAsia" w:hAnsiTheme="minorEastAsia" w:eastAsiaTheme="minorEastAsia" w:cstheme="minorEastAsia"/>
          <w:sz w:val="24"/>
          <w:szCs w:val="24"/>
        </w:rPr>
        <w:sectPr>
          <w:footerReference r:id="rId3" w:type="default"/>
          <w:pgSz w:w="11906" w:h="16838"/>
          <w:pgMar w:top="1701" w:right="1135" w:bottom="1531" w:left="1531" w:header="0" w:footer="986" w:gutter="0"/>
          <w:pgNumType w:start="1"/>
          <w:cols w:space="0" w:num="1"/>
        </w:sectPr>
      </w:pPr>
    </w:p>
    <w:p w14:paraId="2251E1F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（7）与本项目的监理人或代建人或采购代理机构相互控股或参股的；</w:t>
      </w:r>
    </w:p>
    <w:p w14:paraId="1714483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（8）与本项目的监理人或代建人或采购代理机构相互任职或工作的；</w:t>
      </w:r>
    </w:p>
    <w:p w14:paraId="2B5B4DE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（9）被责令停业的；</w:t>
      </w:r>
    </w:p>
    <w:p w14:paraId="3661080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（10）被暂停或取消投标资格的；</w:t>
      </w:r>
    </w:p>
    <w:p w14:paraId="2FD2684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（11）财产被接管或冻结的；</w:t>
      </w:r>
    </w:p>
    <w:p w14:paraId="2FF2655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（12）在最近三年内有骗取成交或严重违约或重大工程质量问题的。</w:t>
      </w:r>
    </w:p>
    <w:p w14:paraId="55F349B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费用承担</w:t>
      </w:r>
    </w:p>
    <w:p w14:paraId="6E7B781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供应商准备和参加采购活动发生的费用自理。</w:t>
      </w:r>
    </w:p>
    <w:p w14:paraId="0109774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保密</w:t>
      </w:r>
    </w:p>
    <w:p w14:paraId="32D6A3D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参与竞争性磋商活动的各方应对磋商文件和响应文件中的商业和技术等秘密保密，否则应承担相应的法律责任。</w:t>
      </w:r>
    </w:p>
    <w:p w14:paraId="41A336B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语言文字</w:t>
      </w:r>
    </w:p>
    <w:p w14:paraId="61BF30C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响应文件使用的语言文字为中文。专用术语使用外文的，应附有中文注释。</w:t>
      </w:r>
    </w:p>
    <w:p w14:paraId="482C3D9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计量单位</w:t>
      </w:r>
    </w:p>
    <w:p w14:paraId="34B0E3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14:paraId="5C914BF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潜在供应商现场考察或者召开开标前答疑会</w:t>
      </w:r>
    </w:p>
    <w:p w14:paraId="244C5BD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供应商须知前附表规定潜在供应商现场考察或者召开开标前答疑会的，采购人或者采购代理机构在磋商文件提供期限截止后，组织已获取磋商文件的潜在供应商现场考察或者召开开标前答疑会。</w:t>
      </w:r>
    </w:p>
    <w:p w14:paraId="341C46C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除采购人的原因外，供应商自行负责在踏勘现场中所发生的人员伤亡和财产损失。</w:t>
      </w:r>
    </w:p>
    <w:p w14:paraId="5A56EFD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 采购人在踏勘现场中介绍的工程场地和相关的周边环境情况，供应商在编制响应文件时参考，采购人不对供应商据此作出的判断和决策负责。</w:t>
      </w:r>
    </w:p>
    <w:p w14:paraId="191A5D2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分包</w:t>
      </w:r>
    </w:p>
    <w:p w14:paraId="132FC73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根据磋商文件的规定和采购项目的实际情况，拟在成交后将成交项目的非主体、非关键性工作分包的，应当在响应文件中载明分包承担主体，分包承担主体应当具备相应资质条件且不得再次分包及对分包项目承担责任。</w:t>
      </w:r>
    </w:p>
    <w:p w14:paraId="775F3C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响应和偏差</w:t>
      </w:r>
    </w:p>
    <w:p w14:paraId="2A4F65F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 响应文件应当对磋商文件的实质性要求和条件作出满足性或更有利于采购人的响应，否则供应商的投标将被否决。实质性要求和条件见供应商须知前附表。</w:t>
      </w:r>
    </w:p>
    <w:p w14:paraId="5F44FF9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 供应商应根据磋商文件的要求提供商务、技术等内容以对磋商文件作出响应。</w:t>
      </w:r>
    </w:p>
    <w:p w14:paraId="6134762F">
      <w:pPr>
        <w:spacing w:line="360" w:lineRule="auto"/>
        <w:ind w:firstLine="482" w:firstLineChars="200"/>
        <w:rPr>
          <w:rFonts w:asciiTheme="minorEastAsia" w:hAnsiTheme="minorEastAsia" w:eastAsiaTheme="minorEastAsia" w:cstheme="minorEastAsia"/>
          <w:b/>
          <w:bCs/>
          <w:sz w:val="24"/>
          <w:szCs w:val="24"/>
        </w:rPr>
      </w:pPr>
      <w:bookmarkStart w:id="34" w:name="bookmark11"/>
      <w:bookmarkEnd w:id="34"/>
      <w:bookmarkStart w:id="35" w:name="bookmark12"/>
      <w:bookmarkEnd w:id="35"/>
      <w:r>
        <w:rPr>
          <w:rFonts w:hint="eastAsia" w:asciiTheme="minorEastAsia" w:hAnsiTheme="minorEastAsia" w:eastAsiaTheme="minorEastAsia" w:cstheme="minorEastAsia"/>
          <w:b/>
          <w:bCs/>
          <w:sz w:val="24"/>
          <w:szCs w:val="24"/>
        </w:rPr>
        <w:t>2.磋商文件</w:t>
      </w:r>
    </w:p>
    <w:p w14:paraId="4629E34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磋商文件的组成</w:t>
      </w:r>
    </w:p>
    <w:p w14:paraId="648B295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本磋商文件包括：</w:t>
      </w:r>
    </w:p>
    <w:p w14:paraId="1A0C869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7FC2280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131EF02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（3）评分办法；</w:t>
      </w:r>
    </w:p>
    <w:p w14:paraId="76B9C15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（4）合同条款及格式；</w:t>
      </w:r>
    </w:p>
    <w:p w14:paraId="563F8DD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（5）工程量清单；</w:t>
      </w:r>
    </w:p>
    <w:p w14:paraId="2F3E8CE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（6）图纸</w:t>
      </w:r>
    </w:p>
    <w:p w14:paraId="3549DB8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（7）技术标准和要求</w:t>
      </w:r>
    </w:p>
    <w:p w14:paraId="4AA5C88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（8）响应文件格式；</w:t>
      </w:r>
    </w:p>
    <w:p w14:paraId="4B92B61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（9）供应商须知前附表规定的其他材料。</w:t>
      </w:r>
    </w:p>
    <w:p w14:paraId="10B295D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 2.2 款和第 2.3 款对磋商文件所作的澄清、修改，构成磋商文件的组成部分。</w:t>
      </w:r>
    </w:p>
    <w:p w14:paraId="1BA9794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磋商文件的澄清</w:t>
      </w:r>
    </w:p>
    <w:p w14:paraId="0A00DC7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供应商应仔细阅读和检查磋商文件的全部内容。如有疑问，应按供应商须知前附表规定的时间和形式将提出的问题送达采购人或采购代理机构，要求采购人或采购代理机构对磋商文件予以澄清。</w:t>
      </w:r>
    </w:p>
    <w:p w14:paraId="59027D9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磋商文件的澄清以供应商须知前附表规定的形式发给所有获取磋商文件的供应商，但不指明澄清问题的来源。澄清发出的时间距本章 4.2.1项规定的提交首次响应文件截止时间不足五日的，并且澄清内容可能影响响应文件编制的，采购人、采购代理机构将顺延提交首次响应文件截止时间。</w:t>
      </w:r>
    </w:p>
    <w:p w14:paraId="21287D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磋商澄清内容是磋商文件的组成部分，澄清内容在电子交易平台发布，视作已送达所有供应商，并对供应商具有约束力。</w:t>
      </w:r>
    </w:p>
    <w:p w14:paraId="2EF67BF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 除非采购人认为确有必要答复，否则，采购人有权拒绝回复供应商在本章第 2.2.1 项规定的时间后的任何澄清要求。</w:t>
      </w:r>
    </w:p>
    <w:p w14:paraId="05839B2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磋商文件的修改</w:t>
      </w:r>
    </w:p>
    <w:p w14:paraId="4F45052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采购人以供应商须知前附表规定的形式修改磋商文件，并通知所有已获取磋商文件的供应商。修改磋商文件的时间距本章第 4.2.1项规定的提交首次响应文件截止时间不足五日的，并且修改内容可能影响响应文件编制的，采购人、采购代理机构将顺延提交首次响应文件截止时间。</w:t>
      </w:r>
    </w:p>
    <w:p w14:paraId="665A14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修改内容是磋商文件的组成部分，修改内容在电子交易平台发布，视作已送达所有供应商，并对供应商具有约束力。</w:t>
      </w:r>
    </w:p>
    <w:p w14:paraId="6BD3F352">
      <w:pPr>
        <w:spacing w:line="360" w:lineRule="auto"/>
        <w:ind w:firstLine="482" w:firstLineChars="200"/>
        <w:rPr>
          <w:rFonts w:asciiTheme="minorEastAsia" w:hAnsiTheme="minorEastAsia" w:eastAsiaTheme="minorEastAsia" w:cstheme="minorEastAsia"/>
          <w:b/>
          <w:bCs/>
          <w:sz w:val="24"/>
          <w:szCs w:val="24"/>
        </w:rPr>
      </w:pPr>
      <w:bookmarkStart w:id="36" w:name="bookmark13"/>
      <w:bookmarkEnd w:id="36"/>
      <w:bookmarkStart w:id="37" w:name="bookmark14"/>
      <w:bookmarkEnd w:id="37"/>
      <w:r>
        <w:rPr>
          <w:rFonts w:hint="eastAsia" w:asciiTheme="minorEastAsia" w:hAnsiTheme="minorEastAsia" w:eastAsiaTheme="minorEastAsia" w:cstheme="minorEastAsia"/>
          <w:b/>
          <w:bCs/>
          <w:sz w:val="24"/>
          <w:szCs w:val="24"/>
        </w:rPr>
        <w:t>3.响应文件</w:t>
      </w:r>
    </w:p>
    <w:p w14:paraId="39FF8A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响应文件的组成</w:t>
      </w:r>
    </w:p>
    <w:p w14:paraId="3C4C6BF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响应文件应包括下列内容：</w:t>
      </w:r>
    </w:p>
    <w:p w14:paraId="58D07BB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磋商函及磋商函附录；</w:t>
      </w:r>
    </w:p>
    <w:p w14:paraId="74BF58A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法定代表人身份证明；</w:t>
      </w:r>
    </w:p>
    <w:p w14:paraId="1082DEC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授权委托书；</w:t>
      </w:r>
    </w:p>
    <w:p w14:paraId="45C862B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磋商承诺函；</w:t>
      </w:r>
    </w:p>
    <w:p w14:paraId="3DEF26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已标价工程量清单；</w:t>
      </w:r>
    </w:p>
    <w:p w14:paraId="6F4737E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施工组织设计；</w:t>
      </w:r>
    </w:p>
    <w:p w14:paraId="62C1EA5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项目管理机构；</w:t>
      </w:r>
    </w:p>
    <w:p w14:paraId="0D38F20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资格审查资料；</w:t>
      </w:r>
    </w:p>
    <w:p w14:paraId="13702F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近年完成的类似项目情况表；</w:t>
      </w:r>
    </w:p>
    <w:p w14:paraId="6A9B67C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(10)正在实施的和新承接的项目情况表；</w:t>
      </w:r>
    </w:p>
    <w:p w14:paraId="3A2D641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(11)服务承诺；</w:t>
      </w:r>
    </w:p>
    <w:p w14:paraId="6096895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(12)中小企业声明函；</w:t>
      </w:r>
    </w:p>
    <w:p w14:paraId="0EAECEE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(13)反商业贿赂承诺书；</w:t>
      </w:r>
    </w:p>
    <w:p w14:paraId="44AED1A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(14)供应商认为需要提供的其他资料；</w:t>
      </w:r>
    </w:p>
    <w:p w14:paraId="13B2949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供应商在评审过程中作出的符合法律法规和磋商文件规定的澄清确认，构成响应文件的组成部分。</w:t>
      </w:r>
    </w:p>
    <w:p w14:paraId="46DC305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磋商报价</w:t>
      </w:r>
    </w:p>
    <w:p w14:paraId="20DB4FE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供应商应按第五章“工程量清单”的要求填写相应表格。</w:t>
      </w:r>
    </w:p>
    <w:p w14:paraId="04CE3C7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3.2.2（1）供应商在提交首次响应文件截止时间前修改磋商函中的磋商报价总额，应同时修改“ 已标价工程量清单 ”中的相应报价，磋商报价总额为各分项金额之和。此修改须符合本章第 4.3 款的有关要求。</w:t>
      </w:r>
    </w:p>
    <w:p w14:paraId="31702E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2）本项目采用最终磋商报价总价（已标价工程量清单中单价）与响应文件磋商报价总价（已标价工程量清单中单价）按同比例下浮的方式进行调整。（注：最终磋商报价中不可竞争费用按规定计取，如已标价工程量清单中单价按同比例下浮后无法对应最终磋商报价总价，成交人须自行调整措施费以确保成交人在签订合同前，向采购人提供能够对应最终磋商报价的已标价工程量清单）。</w:t>
      </w:r>
    </w:p>
    <w:p w14:paraId="5619484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通过初步评审的供应商在规定时间内提交最后报价。成交供应商的磋商报价均包括完成该工程项目的成本、利润、税金、风险等所有伴随的其他费用。（交易系统最后报价操作详见交易平台发布的供应商多轮报价操作手册）</w:t>
      </w:r>
    </w:p>
    <w:p w14:paraId="05DAF81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如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0E35A1E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3.2.5 采购人设有最高限价的，供应商的首次报价及最后报价均不得超过最高限价，最高限价在供应商须知前附表中载明。（实质性变动采购需求情况除外）</w:t>
      </w:r>
    </w:p>
    <w:p w14:paraId="1CBEE09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3.2.6 磋商报价的其他要求见供应商须知前附表。</w:t>
      </w:r>
    </w:p>
    <w:p w14:paraId="2C02C9D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磋商有效期</w:t>
      </w:r>
    </w:p>
    <w:p w14:paraId="777D282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磋商有效期要求见供应商须知前附表。</w:t>
      </w:r>
    </w:p>
    <w:p w14:paraId="38D4CEF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磋商有效期从提交首次响应文件的截止之日起算。响应文件中承诺的磋商有效期应当不少于磋商文件中载明的磋商有效期。磋商有效期内供应商撤销响应文件的，响应文件无效。</w:t>
      </w:r>
    </w:p>
    <w:p w14:paraId="6472FD6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磋商保证金</w:t>
      </w:r>
    </w:p>
    <w:p w14:paraId="7C4272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根据《河南省财政厅关于优化政府采购营商环境有关问题的通知》 （豫财购〔2019〕4号）文件之规定，本项目不要求供应商提交磋商保证金，需提供磋商承诺函及招标代理服务费承诺函。</w:t>
      </w:r>
    </w:p>
    <w:p w14:paraId="13EE42D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 资格审查资料</w:t>
      </w:r>
    </w:p>
    <w:p w14:paraId="03C37D3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除供应商须知前附表另有规定外，供应商应按规定提供资格审查资料，以证明其满足本章第1.4.1 款要求。</w:t>
      </w:r>
    </w:p>
    <w:p w14:paraId="6AE0357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 备选磋商方案</w:t>
      </w:r>
    </w:p>
    <w:p w14:paraId="2A68FCB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除供应商须知前附表规定允许外，供应商不得提交备选磋商方案，否则其响应文件将被否决。</w:t>
      </w:r>
    </w:p>
    <w:p w14:paraId="44344E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 响应文件的编制</w:t>
      </w:r>
    </w:p>
    <w:p w14:paraId="24FE758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响应文件应按第八章“响应文件格式”进行编写，如有必要，可以增加附页，作为响应文件的组成部分。其中，磋商函附录在满足磋商文件实质性要求的基础上，可以提出比磋商文件要求更有利于采购人的承诺。</w:t>
      </w:r>
    </w:p>
    <w:p w14:paraId="13C4B0D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响应文件应当对磋商文件有关计划工期、磋商有效期、质量要求、磋商范围等实质性内容作出响应。</w:t>
      </w:r>
    </w:p>
    <w:p w14:paraId="527E4CE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全部采用电子文档，除供应商须知前附表另有规定外，响应文件所附证书证件均为原件扫描件或复印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签字或盖章的具体要求见供应商须知前附表。</w:t>
      </w:r>
    </w:p>
    <w:p w14:paraId="04539AF6">
      <w:pPr>
        <w:spacing w:line="360" w:lineRule="auto"/>
        <w:ind w:firstLine="482" w:firstLineChars="200"/>
        <w:rPr>
          <w:rFonts w:asciiTheme="minorEastAsia" w:hAnsiTheme="minorEastAsia" w:eastAsiaTheme="minorEastAsia" w:cstheme="minorEastAsia"/>
          <w:b/>
          <w:bCs/>
          <w:sz w:val="24"/>
          <w:szCs w:val="24"/>
        </w:rPr>
      </w:pPr>
      <w:bookmarkStart w:id="38" w:name="bookmark15"/>
      <w:bookmarkEnd w:id="38"/>
      <w:bookmarkStart w:id="39" w:name="bookmark16"/>
      <w:bookmarkEnd w:id="39"/>
      <w:r>
        <w:rPr>
          <w:rFonts w:hint="eastAsia" w:asciiTheme="minorEastAsia" w:hAnsiTheme="minorEastAsia" w:eastAsiaTheme="minorEastAsia" w:cstheme="minorEastAsia"/>
          <w:b/>
          <w:bCs/>
          <w:sz w:val="24"/>
          <w:szCs w:val="24"/>
        </w:rPr>
        <w:t>4.响应文件的提交</w:t>
      </w:r>
    </w:p>
    <w:p w14:paraId="3A2127A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响应文件的加密和标记</w:t>
      </w:r>
    </w:p>
    <w:p w14:paraId="44A2802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供应商应当按照磋商文件和电子招标投标交易平台的要求加密响应文件，具体要求见供应商须知前附表。</w:t>
      </w:r>
    </w:p>
    <w:p w14:paraId="0F13CEA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 未按本章第 4.1.1 项要求加密的响应文件，采购人将予以拒收。</w:t>
      </w:r>
    </w:p>
    <w:p w14:paraId="02D764E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响应文件的上传</w:t>
      </w:r>
    </w:p>
    <w:p w14:paraId="60E8F7A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 供应商应在供应商须知前附表规定的提交首次响应文件截止时间前上传响应文件。</w:t>
      </w:r>
    </w:p>
    <w:p w14:paraId="401DE42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供应商通过下载磋商文件的电子招标投标交易平台提交电子响应文件。</w:t>
      </w:r>
    </w:p>
    <w:p w14:paraId="671D028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 除供应商须知前附表另有规定外，供应商所提交的响应文件不予退还。</w:t>
      </w:r>
    </w:p>
    <w:p w14:paraId="2263CC9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 逾期上传的响应文件，电子招标投标交易平台将予以拒收。</w:t>
      </w:r>
    </w:p>
    <w:p w14:paraId="662110A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响应文件的修改与撤回</w:t>
      </w:r>
    </w:p>
    <w:p w14:paraId="3A77043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4.3.1 在本章第 4.2.1 项规定的提交首次响应文件截止时间前，供应商可以修改或撤回已提交的响应文件，但应通过河南省公共资源交易平台通知采购人。   </w:t>
      </w:r>
    </w:p>
    <w:p w14:paraId="284E7E2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供应商修改或撤回已提交响应文件的通知，应按照本章第 3.7.3 项的要求加盖电子印章。</w:t>
      </w:r>
    </w:p>
    <w:p w14:paraId="4CBDAF8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4.3.3 修改的内容为响应文件的组成部分。修改的响应文件应按照本章第 3.7 项、第 4 项的规定进行编制、密封（加密）、标记和提交，并标明“修改”字样。</w:t>
      </w:r>
    </w:p>
    <w:p w14:paraId="2F300471">
      <w:pPr>
        <w:spacing w:line="360" w:lineRule="auto"/>
        <w:ind w:firstLine="482" w:firstLineChars="200"/>
        <w:rPr>
          <w:rFonts w:asciiTheme="minorEastAsia" w:hAnsiTheme="minorEastAsia" w:eastAsiaTheme="minorEastAsia" w:cstheme="minorEastAsia"/>
          <w:b/>
          <w:bCs/>
          <w:sz w:val="24"/>
          <w:szCs w:val="24"/>
        </w:rPr>
      </w:pPr>
      <w:bookmarkStart w:id="40" w:name="bookmark18"/>
      <w:bookmarkEnd w:id="40"/>
      <w:bookmarkStart w:id="41" w:name="bookmark17"/>
      <w:bookmarkEnd w:id="41"/>
      <w:r>
        <w:rPr>
          <w:rFonts w:hint="eastAsia" w:asciiTheme="minorEastAsia" w:hAnsiTheme="minorEastAsia" w:eastAsiaTheme="minorEastAsia" w:cstheme="minorEastAsia"/>
          <w:b/>
          <w:bCs/>
          <w:sz w:val="24"/>
          <w:szCs w:val="24"/>
        </w:rPr>
        <w:t>5.开标</w:t>
      </w:r>
    </w:p>
    <w:p w14:paraId="185871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开标时间和地点</w:t>
      </w:r>
    </w:p>
    <w:p w14:paraId="6B13910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采购人在本章第 4.2.1 项规定的提交首次响应文件截止时间（开标时间）,通过电子招标投标交易平台公开开标，所有供应商的法定代表人（单位负责人）或其委托代理人应当准时参加开标。</w:t>
      </w:r>
    </w:p>
    <w:p w14:paraId="4FBA8AE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远程开标</w:t>
      </w:r>
    </w:p>
    <w:p w14:paraId="4BF476A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供应商无需到河南省交易中心现场参加开标会议，开标采用“远程不见面 ”开标方式。供应商须在磋商文件确定的首次响应文件提交截止时间前，登录远程开标大厅，在线准时参加开标活动，并在规定的时间内进行文件解密、答疑澄清等。</w:t>
      </w:r>
    </w:p>
    <w:p w14:paraId="0A47ABB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5.2.2 因供应商加密电子响应文件未能成功上传或误传而导致的解密失败，投标将被拒绝。</w:t>
      </w:r>
    </w:p>
    <w:p w14:paraId="51A4C85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开标异议</w:t>
      </w:r>
    </w:p>
    <w:p w14:paraId="0B5C4BC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供应商对开标过程有异议的，应当通过交易平台提出，采购人当场作出答复。供应商未参加开标的，视同认可开标结果。</w:t>
      </w:r>
    </w:p>
    <w:p w14:paraId="7237144D">
      <w:pPr>
        <w:spacing w:line="360" w:lineRule="auto"/>
        <w:ind w:firstLine="482" w:firstLineChars="200"/>
        <w:rPr>
          <w:rFonts w:asciiTheme="minorEastAsia" w:hAnsiTheme="minorEastAsia" w:eastAsiaTheme="minorEastAsia" w:cstheme="minorEastAsia"/>
          <w:b/>
          <w:bCs/>
          <w:sz w:val="24"/>
          <w:szCs w:val="24"/>
        </w:rPr>
      </w:pPr>
      <w:bookmarkStart w:id="42" w:name="bookmark20"/>
      <w:bookmarkEnd w:id="42"/>
      <w:bookmarkStart w:id="43" w:name="bookmark19"/>
      <w:bookmarkEnd w:id="43"/>
      <w:r>
        <w:rPr>
          <w:rFonts w:hint="eastAsia" w:asciiTheme="minorEastAsia" w:hAnsiTheme="minorEastAsia" w:eastAsiaTheme="minorEastAsia" w:cstheme="minorEastAsia"/>
          <w:b/>
          <w:bCs/>
          <w:sz w:val="24"/>
          <w:szCs w:val="24"/>
        </w:rPr>
        <w:t>6.磋商</w:t>
      </w:r>
    </w:p>
    <w:p w14:paraId="1B5587C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磋商小组</w:t>
      </w:r>
    </w:p>
    <w:p w14:paraId="04C86D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磋商会议由采购人依法组建的磋商小组负责。磋商小组由采购人以及有关技术、经济等方面的专家组成。磋商小组成员人数以及技术、经济等方面专家的确定方式见供应商须知前附表。</w:t>
      </w:r>
    </w:p>
    <w:p w14:paraId="0B76CC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磋商小组成员有下列情形之一的，应当回避：</w:t>
      </w:r>
    </w:p>
    <w:p w14:paraId="7C77E81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（1）供应商或供应商主要负责人的近亲属；</w:t>
      </w:r>
    </w:p>
    <w:p w14:paraId="122548C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（2）项目主管部门或者行政监督部门的人员；</w:t>
      </w:r>
    </w:p>
    <w:p w14:paraId="487BCE6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（3）与供应商有经济利益关系，可能影响对投标公正评审的；</w:t>
      </w:r>
    </w:p>
    <w:p w14:paraId="5435536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（4）曾因在招标、评标以及其他与招标投标有关活动中从事违法行为而受过行政处罚或刑事处罚的；</w:t>
      </w:r>
    </w:p>
    <w:p w14:paraId="3AF4E1A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（5）与供应商有其他利害关系。</w:t>
      </w:r>
    </w:p>
    <w:p w14:paraId="169DED2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 磋商过程中，磋商小组成员有回避事由、擅离职守或者因健康等原因不能继续评审的，采购人有权更换。被更换的磋商小组成员作出的评审结论无效，由更换后的磋商小组成员重新进行评审。</w:t>
      </w:r>
    </w:p>
    <w:p w14:paraId="210182A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磋商原则</w:t>
      </w:r>
    </w:p>
    <w:p w14:paraId="3D1F798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磋商小组成员应当按照客观、公正、审慎的原则，根据磋商文件规定的评审程序、评审方法和评审标准进行独立评审。</w:t>
      </w:r>
    </w:p>
    <w:p w14:paraId="739927A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评审</w:t>
      </w:r>
    </w:p>
    <w:p w14:paraId="21257F5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 磋商小组按照第三章“评分办法 ”规定的方法、评审因素、标准和程序对响应文件进行评审。第三章“评分办法 ”没有规定的方法、评审因素和标准，不作为评审依据。</w:t>
      </w:r>
    </w:p>
    <w:p w14:paraId="1B88BE5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 初步评审</w:t>
      </w:r>
    </w:p>
    <w:p w14:paraId="3E90DC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磋商小组应当对各供应商的响应文件进行初步评审，以确定其是否满足磋商文件的实质性要求，未实质性响应磋商文件的响应文件按无效响应处理。</w:t>
      </w:r>
    </w:p>
    <w:p w14:paraId="3F7202A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6.3.3 响应文件的澄清</w:t>
      </w:r>
    </w:p>
    <w:p w14:paraId="2937F67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 者更正。供应商的澄清、说明或者更正不得超出响应文件的范围或者改变响应文件的实质性内容。</w:t>
      </w:r>
    </w:p>
    <w:p w14:paraId="3452BAC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7B6CB1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6.3.4 磋商过程中，磋商小组可以根据磋商文件和磋商情况实质性变动采购需求中的技术、服务要求以及合同草案条款，但不得变动磋商文件中的其他内容。实质性变动的内容，须经采购人代表确认。该变动是磋商文件的有效组成部分。对磋商文件作出的实质性变动是磋商文件的有效组成部分，磋商小组通过河南省公共资源交易平台同时通知所有参加磋商的供应商，并要求所有实质性响应的供应商在规定时间内提交最后报价，提交最后报价的供应商不得少于 3 家。</w:t>
      </w:r>
    </w:p>
    <w:p w14:paraId="1D13452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供应商应当按照磋商文件的变动情况和磋商小组的要求提交最后报价，未在规定时间内在河南省公共资源交易平台进行报价的，产生的后果由供应商自行承担。</w:t>
      </w:r>
    </w:p>
    <w:p w14:paraId="3995A91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6.3.5 已提交响应文件的供应商，在提交最后报价之前，可以根据磋商情况退出磋商。</w:t>
      </w:r>
    </w:p>
    <w:p w14:paraId="1FC830D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6.3.6 经磋商确定最终采购需求和提交最后报价的供应商后，由磋商小组采用综合评分法对提交最后报价的供应商的响应文件和最后报价进行综合评分。供应商若为监狱企业、残疾人福利性单位企业或为小型、微型企业的，给予其最后报价5%的价格扣除。如有价格扣除，按扣除后价格进行评审，但不做为签订合同的依据。</w:t>
      </w:r>
    </w:p>
    <w:p w14:paraId="5320BCD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6.3.7 评审完成后，磋商小组应当向采购人提交书面评审报告和成交候选供应商名单。磋商小组推荐成交候选供应商数量见供应商须知前附表。</w:t>
      </w:r>
    </w:p>
    <w:p w14:paraId="0A99570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无效响应</w:t>
      </w:r>
    </w:p>
    <w:p w14:paraId="58C5788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6.4.1 如发现下列情况之一的，其投标将被认定为无效响应：</w:t>
      </w:r>
    </w:p>
    <w:p w14:paraId="5A3BA5A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（1）未按照磋商文件规定要求签署、盖章的；</w:t>
      </w:r>
    </w:p>
    <w:p w14:paraId="7691142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（2）不具备磋商文件中规定的资格要求的；</w:t>
      </w:r>
    </w:p>
    <w:p w14:paraId="7779B40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（3）响应文件含有采购人不能接受的附加条件的；</w:t>
      </w:r>
    </w:p>
    <w:p w14:paraId="39B1AD1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（4）属于串通投标，或者依法被视为串通投标；</w:t>
      </w:r>
    </w:p>
    <w:p w14:paraId="1F3D74C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（5）磋商小组认为供应商的报价明显低于其他通过符合性审查供应商的报价，有可能影响履约</w:t>
      </w:r>
    </w:p>
    <w:p w14:paraId="2B6FF45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的，且供应商未按照规定证明其报价合理性的；</w:t>
      </w:r>
    </w:p>
    <w:p w14:paraId="7BBDDAD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（6）响应文件制作机器码与其他供应商的响应文件制作机器码一致；</w:t>
      </w:r>
    </w:p>
    <w:p w14:paraId="1C687A4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（7）不符合磋商文件中规定的其他实质性要求。</w:t>
      </w:r>
    </w:p>
    <w:p w14:paraId="4C0C84D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6.4.2 供应商存在下列情形之一的，其响应文件无效：</w:t>
      </w:r>
    </w:p>
    <w:p w14:paraId="77F4E0D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（1）不同供应商的电子响应文件上传计算机的网卡 MAC 地址、CPU 序列号和硬盘序列号等硬件信息相同的；</w:t>
      </w:r>
    </w:p>
    <w:p w14:paraId="0A78135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（2）不同供应商的响应文件由同一电子设备编制、打印加密或者上传；</w:t>
      </w:r>
    </w:p>
    <w:p w14:paraId="42B5D83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（3）不同供应商的响应文件由同一电子设备打印、复印；</w:t>
      </w:r>
    </w:p>
    <w:p w14:paraId="758094C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（4）不同供应商的响应文件由同一人送达或者分发，或者不同供应商联系人为同一人或不同联系人的联系电话一致的；</w:t>
      </w:r>
    </w:p>
    <w:p w14:paraId="38839A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（5）不同供应商的法定代表人、委托代理人、项目经理、项目负责人等由同一个单位缴纳社会保险或者领取报酬的；</w:t>
      </w:r>
    </w:p>
    <w:p w14:paraId="4A390B4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（6）不同供应商响应文件中法定代表人或者负责人签字出自同一人之手；</w:t>
      </w:r>
    </w:p>
    <w:p w14:paraId="7628B87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（7）其它涉嫌串通的情形。</w:t>
      </w:r>
    </w:p>
    <w:p w14:paraId="626C35FE">
      <w:pPr>
        <w:spacing w:line="360" w:lineRule="auto"/>
        <w:ind w:firstLine="482" w:firstLineChars="200"/>
        <w:rPr>
          <w:rFonts w:asciiTheme="minorEastAsia" w:hAnsiTheme="minorEastAsia" w:eastAsiaTheme="minorEastAsia" w:cstheme="minorEastAsia"/>
          <w:b/>
          <w:bCs/>
          <w:sz w:val="24"/>
          <w:szCs w:val="24"/>
        </w:rPr>
      </w:pPr>
      <w:bookmarkStart w:id="44" w:name="bookmark21"/>
      <w:bookmarkEnd w:id="44"/>
      <w:r>
        <w:rPr>
          <w:rFonts w:hint="eastAsia" w:asciiTheme="minorEastAsia" w:hAnsiTheme="minorEastAsia" w:eastAsiaTheme="minorEastAsia" w:cstheme="minorEastAsia"/>
          <w:b/>
          <w:bCs/>
          <w:sz w:val="24"/>
          <w:szCs w:val="24"/>
        </w:rPr>
        <w:t>7.合同授予</w:t>
      </w:r>
    </w:p>
    <w:p w14:paraId="543C7A9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成交公告</w:t>
      </w:r>
    </w:p>
    <w:p w14:paraId="351C4A6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采购代理机构自评审结束之日起2个工作日内将评审报告送交采购人。采购人自收到评审报告之日起5个工作日内在评审报告推荐的成交候选供应商中按顺序确定成交供应商。采购人逾期未确定成交供应商且不提出异议的，视为确定评审报告提出的排序第一的供应商为成交供应商。</w:t>
      </w:r>
    </w:p>
    <w:p w14:paraId="7BCA2D4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7.1.2 采购代理机构自成交供应商确定之日起2个工作日内，发出成交通知书，并在《河南省政府采购网》《河南省公共资源交易中心网》公告成交结果，同时公告磋商文件。</w:t>
      </w:r>
    </w:p>
    <w:p w14:paraId="18911B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质疑与投诉</w:t>
      </w:r>
    </w:p>
    <w:p w14:paraId="20BD641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 供应商认为磋商文件、采购过程和成交结果使自己的权益受到损害的，可以在知道或者应知其权益受到损害之日起七个工作日内，以书面形式向采购代理机构提出质疑。</w:t>
      </w:r>
    </w:p>
    <w:p w14:paraId="21558A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7.2.2 供应商应知其权益受到损害之日，是指：</w:t>
      </w:r>
    </w:p>
    <w:p w14:paraId="24F6105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（1）对可以质疑的磋商文件提出质疑的，为收到磋商文件之日或者磋商文件公告期限届满之日；</w:t>
      </w:r>
    </w:p>
    <w:p w14:paraId="53491D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（2）对采购过程提出质疑的，为各采购程序环节结束之日；</w:t>
      </w:r>
    </w:p>
    <w:p w14:paraId="4FCCE16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（3）对成交或者成交结果提出质疑的，为成交或者成交结果公告期限届满之日。</w:t>
      </w:r>
    </w:p>
    <w:p w14:paraId="5ABDC2A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7.2.3 质疑供应商应按照财政部制定的《政府采购质疑函范本》格式（可从财政部官方网站下载）及《政府采购质疑和投诉办法》的要求，在本章 7.2.1、7.2.2 款要求时间内以书面形式质疑，针对同一采购程序环节的质疑次数应符合供应商须知前附表的规定。</w:t>
      </w:r>
    </w:p>
    <w:p w14:paraId="771ECDF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7.2.4 超出法定质疑期提交的质疑将被拒绝。重复或分次提出的、内容或形式不符合《政府采购质疑和投诉办法》的，质疑供应商将依法承担不利后果。</w:t>
      </w:r>
    </w:p>
    <w:p w14:paraId="5E145DF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7.2.5 质疑函接收部门、联系电话和通讯地址,见供应商须知前附表。</w:t>
      </w:r>
    </w:p>
    <w:p w14:paraId="73D6395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7.2.6 采购人或采购代理机构在收到供应商的书面质疑后七个工作日内作出答复，并以书面形式通知质疑供应商和其他有关供应商，答复内容不涉及商业秘密。</w:t>
      </w:r>
    </w:p>
    <w:p w14:paraId="2F541C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签订合同</w:t>
      </w:r>
    </w:p>
    <w:p w14:paraId="3D540C2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采购人和成交供应商应当在成交通知书发出之日起 15 日内，根据磋商文件和成交供应商的响应文件订立书面合同。</w:t>
      </w:r>
    </w:p>
    <w:p w14:paraId="22523CB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成交供应商无正当理由拒签合同或在签订合同时向采购人提出附加条件的，采购人有权取消其成交资格，采购人可以按照评审报告推荐的成交候选供应商排序，确定排名下一位的成交候选供应商为成交供应商，也可以重新开展采购活动。</w:t>
      </w:r>
    </w:p>
    <w:p w14:paraId="678B3A5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采购人不得向成交供应商提出任何不合理的要求作为签订合同的条件。</w:t>
      </w:r>
    </w:p>
    <w:p w14:paraId="1A140A26">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8.纪律和监督</w:t>
      </w:r>
    </w:p>
    <w:p w14:paraId="7EBF125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对采购人的纪律要求</w:t>
      </w:r>
    </w:p>
    <w:p w14:paraId="79EA14C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采购人不得泄露采购活动中应当保密的情况和资料，不得与供应商串通损害国家利益、社会公共利益或者他人合法权益。</w:t>
      </w:r>
    </w:p>
    <w:p w14:paraId="08627F7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对供应商的纪律要求</w:t>
      </w:r>
    </w:p>
    <w:p w14:paraId="36C6BB9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供应商不得相互串通投标或者与采购人串通投标，不得向采购人或者磋商小组成员行贿谋取成交，不得以他人名义投标或者以其他方式弄虚作假骗取成交；供应商不得以任何方式干扰、影响评审工作。</w:t>
      </w:r>
    </w:p>
    <w:p w14:paraId="49DD74B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 对磋商小组成员的纪律要求</w:t>
      </w:r>
    </w:p>
    <w:p w14:paraId="3D19C4F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供应商的推荐情况以及评审有关的其他情况。在评审活动中，磋商小组成员应当客观、公正地履行职责，遵守职业道德，不得擅离职守，影响评审程序正常进行，不得使用第三章“评分办法”没有规定的评审因素和评审标准进行评审。</w:t>
      </w:r>
    </w:p>
    <w:p w14:paraId="44C1228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 对与评审活动有关的工作人员的纪律要求</w:t>
      </w:r>
    </w:p>
    <w:p w14:paraId="5FCFBBF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与评审活动有关的工作人员不得收受他人的财物或者其他好处，不得向他人透露对响应文件的评审和比较、成交候选供应商的推荐情况以及评审有关的其他情况。在评审活动中，与评审活动有 关的工作人员不得擅离职守，影响评审程序正常进行。</w:t>
      </w:r>
    </w:p>
    <w:p w14:paraId="29029CB6">
      <w:pPr>
        <w:spacing w:line="360" w:lineRule="auto"/>
        <w:ind w:firstLine="482" w:firstLineChars="200"/>
        <w:rPr>
          <w:rFonts w:asciiTheme="minorEastAsia" w:hAnsiTheme="minorEastAsia" w:eastAsiaTheme="minorEastAsia" w:cstheme="minorEastAsia"/>
          <w:b/>
          <w:bCs/>
          <w:sz w:val="24"/>
          <w:szCs w:val="24"/>
        </w:rPr>
      </w:pPr>
      <w:bookmarkStart w:id="45" w:name="bookmark26"/>
      <w:bookmarkEnd w:id="45"/>
      <w:bookmarkStart w:id="46" w:name="bookmark25"/>
      <w:bookmarkEnd w:id="46"/>
      <w:r>
        <w:rPr>
          <w:rFonts w:hint="eastAsia" w:asciiTheme="minorEastAsia" w:hAnsiTheme="minorEastAsia" w:eastAsiaTheme="minorEastAsia" w:cstheme="minorEastAsia"/>
          <w:b/>
          <w:bCs/>
          <w:sz w:val="24"/>
          <w:szCs w:val="24"/>
        </w:rPr>
        <w:t>9.需要补充的其他内容</w:t>
      </w:r>
    </w:p>
    <w:p w14:paraId="273F9F5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需要补充的其他内容：见供应商须知前附表。</w:t>
      </w:r>
    </w:p>
    <w:p w14:paraId="29AE1A81">
      <w:pPr>
        <w:pStyle w:val="42"/>
        <w:spacing w:line="360" w:lineRule="auto"/>
        <w:ind w:firstLine="420" w:firstLineChars="200"/>
        <w:rPr>
          <w:rFonts w:asciiTheme="minorEastAsia" w:hAnsiTheme="minorEastAsia" w:eastAsiaTheme="minorEastAsia" w:cstheme="minorEastAsia"/>
          <w:b/>
          <w:bCs/>
        </w:rPr>
      </w:pPr>
      <w:r>
        <w:rPr>
          <w:rFonts w:hint="eastAsia" w:ascii="楷体" w:hAnsi="楷体" w:eastAsia="楷体" w:cs="楷体"/>
          <w:kern w:val="0"/>
          <w:sz w:val="21"/>
        </w:rPr>
        <w:br w:type="page"/>
      </w:r>
      <w:r>
        <w:rPr>
          <w:rFonts w:hint="eastAsia" w:asciiTheme="minorEastAsia" w:hAnsiTheme="minorEastAsia" w:eastAsiaTheme="minorEastAsia" w:cstheme="minorEastAsia"/>
          <w:b/>
          <w:bCs/>
          <w:kern w:val="0"/>
        </w:rPr>
        <w:t>附件1：</w:t>
      </w:r>
    </w:p>
    <w:p w14:paraId="7FB8F53B">
      <w:pPr>
        <w:pStyle w:val="51"/>
        <w:spacing w:line="360" w:lineRule="auto"/>
        <w:ind w:firstLine="0"/>
        <w:jc w:val="center"/>
        <w:rPr>
          <w:rFonts w:asciiTheme="minorEastAsia" w:hAnsiTheme="minorEastAsia" w:eastAsiaTheme="minorEastAsia" w:cstheme="minorEastAsia"/>
          <w:b/>
          <w:bCs/>
          <w:sz w:val="24"/>
          <w:szCs w:val="24"/>
          <w:lang w:val="en-US" w:eastAsia="zh-CN" w:bidi="ar-SA"/>
        </w:rPr>
      </w:pPr>
      <w:bookmarkStart w:id="47" w:name="bookmark23"/>
      <w:bookmarkStart w:id="48" w:name="bookmark22"/>
      <w:bookmarkStart w:id="49" w:name="bookmark24"/>
      <w:r>
        <w:rPr>
          <w:rFonts w:hint="eastAsia" w:asciiTheme="minorEastAsia" w:hAnsiTheme="minorEastAsia" w:eastAsiaTheme="minorEastAsia" w:cstheme="minorEastAsia"/>
          <w:b/>
          <w:bCs/>
          <w:sz w:val="24"/>
          <w:szCs w:val="24"/>
          <w:lang w:val="en-US" w:eastAsia="zh-CN" w:bidi="ar-SA"/>
        </w:rPr>
        <w:t>河南省政府采购合同融资政策告知函</w:t>
      </w:r>
      <w:bookmarkEnd w:id="47"/>
      <w:bookmarkEnd w:id="48"/>
      <w:bookmarkEnd w:id="49"/>
    </w:p>
    <w:p w14:paraId="0D8682C4">
      <w:pPr>
        <w:pStyle w:val="51"/>
        <w:spacing w:line="360" w:lineRule="auto"/>
        <w:ind w:firstLine="480" w:firstLineChars="200"/>
        <w:jc w:val="left"/>
        <w:rPr>
          <w:rFonts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各供应商：</w:t>
      </w:r>
    </w:p>
    <w:p w14:paraId="034F6187">
      <w:pPr>
        <w:pStyle w:val="51"/>
        <w:spacing w:line="360" w:lineRule="auto"/>
        <w:ind w:firstLine="480" w:firstLineChars="200"/>
        <w:jc w:val="left"/>
        <w:rPr>
          <w:rFonts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欢迎贵公司参与河南省政府采购活动！</w:t>
      </w:r>
    </w:p>
    <w:p w14:paraId="0172D9C6">
      <w:pPr>
        <w:pStyle w:val="51"/>
        <w:spacing w:line="360" w:lineRule="auto"/>
        <w:ind w:firstLine="480" w:firstLineChars="200"/>
        <w:jc w:val="left"/>
        <w:rPr>
          <w:rFonts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14:paraId="26CAA3A9">
      <w:pPr>
        <w:pStyle w:val="51"/>
        <w:spacing w:line="360" w:lineRule="auto"/>
        <w:ind w:firstLine="480" w:firstLineChars="200"/>
        <w:jc w:val="left"/>
        <w:rPr>
          <w:rFonts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贷款渠道和提供贷款的金融机构，可在河南省政府采购网 </w:t>
      </w:r>
      <w:r>
        <w:rPr>
          <w:rFonts w:hint="eastAsia" w:asciiTheme="minorEastAsia" w:hAnsiTheme="minorEastAsia" w:eastAsiaTheme="minorEastAsia" w:cstheme="minorEastAsia"/>
          <w:kern w:val="0"/>
          <w:sz w:val="24"/>
          <w:szCs w:val="24"/>
          <w:lang w:val="zh-CN" w:eastAsia="zh-CN" w:bidi="ar-SA"/>
        </w:rPr>
        <w:t>“河南</w:t>
      </w:r>
      <w:r>
        <w:rPr>
          <w:rFonts w:hint="eastAsia" w:asciiTheme="minorEastAsia" w:hAnsiTheme="minorEastAsia" w:eastAsiaTheme="minorEastAsia" w:cstheme="minorEastAsia"/>
          <w:kern w:val="0"/>
          <w:sz w:val="24"/>
          <w:szCs w:val="24"/>
          <w:lang w:val="en-US" w:eastAsia="zh-CN" w:bidi="ar-SA"/>
        </w:rPr>
        <w:t>省政府采购合同融资平台”查询联系。</w:t>
      </w:r>
    </w:p>
    <w:p w14:paraId="41CDBC80">
      <w:pPr>
        <w:pStyle w:val="2"/>
        <w:numPr>
          <w:ilvl w:val="0"/>
          <w:numId w:val="0"/>
        </w:numPr>
      </w:pPr>
      <w:r>
        <w:rPr>
          <w:rFonts w:hint="eastAsia" w:ascii="楷体" w:hAnsi="楷体" w:eastAsia="楷体" w:cs="楷体"/>
          <w:kern w:val="0"/>
        </w:rPr>
        <w:br w:type="page"/>
      </w:r>
      <w:bookmarkEnd w:id="18"/>
      <w:bookmarkEnd w:id="19"/>
      <w:bookmarkEnd w:id="20"/>
      <w:bookmarkEnd w:id="21"/>
      <w:bookmarkEnd w:id="22"/>
      <w:bookmarkEnd w:id="23"/>
      <w:bookmarkEnd w:id="24"/>
      <w:bookmarkEnd w:id="25"/>
      <w:bookmarkEnd w:id="29"/>
      <w:bookmarkEnd w:id="30"/>
      <w:bookmarkEnd w:id="31"/>
      <w:bookmarkEnd w:id="32"/>
      <w:bookmarkStart w:id="50" w:name="_Toc1985"/>
      <w:bookmarkStart w:id="51" w:name="_Toc152045598"/>
      <w:bookmarkStart w:id="52" w:name="_Toc11656"/>
      <w:bookmarkStart w:id="53" w:name="_Toc27379"/>
      <w:bookmarkStart w:id="54" w:name="_Toc144974565"/>
      <w:bookmarkStart w:id="55" w:name="_Toc152042375"/>
      <w:r>
        <w:rPr>
          <w:rFonts w:hint="eastAsia"/>
        </w:rPr>
        <w:t>第三章</w:t>
      </w:r>
      <w:bookmarkEnd w:id="50"/>
      <w:r>
        <w:rPr>
          <w:rFonts w:hint="eastAsia"/>
        </w:rPr>
        <w:t xml:space="preserve">  评审方法</w:t>
      </w:r>
      <w:bookmarkEnd w:id="51"/>
      <w:bookmarkEnd w:id="52"/>
      <w:bookmarkEnd w:id="53"/>
      <w:bookmarkEnd w:id="54"/>
      <w:bookmarkEnd w:id="55"/>
      <w:bookmarkStart w:id="56" w:name="_Toc353268936"/>
      <w:bookmarkStart w:id="57" w:name="_Toc413834358"/>
      <w:bookmarkStart w:id="58" w:name="_Toc334033063"/>
      <w:bookmarkStart w:id="59" w:name="_Toc496867159"/>
      <w:bookmarkStart w:id="60" w:name="_Toc389632240"/>
    </w:p>
    <w:p w14:paraId="6214DBB0">
      <w:pPr>
        <w:jc w:val="center"/>
        <w:rPr>
          <w:b/>
          <w:bCs/>
          <w:sz w:val="24"/>
          <w:szCs w:val="24"/>
        </w:rPr>
      </w:pPr>
      <w:bookmarkStart w:id="61" w:name="_Toc32529"/>
      <w:bookmarkStart w:id="62" w:name="_Toc19282"/>
      <w:bookmarkStart w:id="63" w:name="_Toc23341"/>
      <w:bookmarkStart w:id="64" w:name="_Toc26352"/>
      <w:r>
        <w:rPr>
          <w:rFonts w:hint="eastAsia"/>
          <w:b/>
          <w:bCs/>
          <w:sz w:val="24"/>
          <w:szCs w:val="24"/>
        </w:rPr>
        <w:t>评分办法前附表</w:t>
      </w:r>
      <w:bookmarkEnd w:id="56"/>
      <w:bookmarkEnd w:id="61"/>
      <w:bookmarkEnd w:id="62"/>
      <w:bookmarkEnd w:id="63"/>
      <w:bookmarkEnd w:id="64"/>
    </w:p>
    <w:tbl>
      <w:tblPr>
        <w:tblStyle w:val="26"/>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485"/>
        <w:gridCol w:w="1910"/>
        <w:gridCol w:w="5146"/>
      </w:tblGrid>
      <w:tr w14:paraId="3253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97" w:type="dxa"/>
            <w:gridSpan w:val="2"/>
            <w:vAlign w:val="center"/>
          </w:tcPr>
          <w:p w14:paraId="3E78FC1D">
            <w:pPr>
              <w:spacing w:line="288"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条款号</w:t>
            </w:r>
          </w:p>
        </w:tc>
        <w:tc>
          <w:tcPr>
            <w:tcW w:w="1910" w:type="dxa"/>
            <w:vAlign w:val="center"/>
          </w:tcPr>
          <w:p w14:paraId="418FA5A1">
            <w:pPr>
              <w:spacing w:line="288"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评审因素</w:t>
            </w:r>
          </w:p>
        </w:tc>
        <w:tc>
          <w:tcPr>
            <w:tcW w:w="5146" w:type="dxa"/>
            <w:vAlign w:val="center"/>
          </w:tcPr>
          <w:p w14:paraId="23588E7A">
            <w:pPr>
              <w:spacing w:line="288"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评审标准</w:t>
            </w:r>
          </w:p>
        </w:tc>
      </w:tr>
      <w:tr w14:paraId="65CA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restart"/>
            <w:vAlign w:val="center"/>
          </w:tcPr>
          <w:p w14:paraId="7F9F9C42">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2.1.1</w:t>
            </w:r>
          </w:p>
        </w:tc>
        <w:tc>
          <w:tcPr>
            <w:tcW w:w="1485" w:type="dxa"/>
            <w:vMerge w:val="restart"/>
            <w:vAlign w:val="center"/>
          </w:tcPr>
          <w:p w14:paraId="01B5F341">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形式评审</w:t>
            </w:r>
          </w:p>
          <w:p w14:paraId="79D7E9D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标准</w:t>
            </w:r>
          </w:p>
        </w:tc>
        <w:tc>
          <w:tcPr>
            <w:tcW w:w="1910" w:type="dxa"/>
            <w:vAlign w:val="center"/>
          </w:tcPr>
          <w:p w14:paraId="3904614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标书雷同性分析</w:t>
            </w:r>
          </w:p>
        </w:tc>
        <w:tc>
          <w:tcPr>
            <w:tcW w:w="5146" w:type="dxa"/>
            <w:vAlign w:val="center"/>
          </w:tcPr>
          <w:p w14:paraId="45B0BA77">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投标（响应）文件制作机器码不能一致</w:t>
            </w:r>
          </w:p>
        </w:tc>
      </w:tr>
      <w:tr w14:paraId="4D3F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209B7081">
            <w:pPr>
              <w:spacing w:line="288" w:lineRule="auto"/>
              <w:jc w:val="center"/>
              <w:rPr>
                <w:rFonts w:asciiTheme="minorEastAsia" w:hAnsiTheme="minorEastAsia" w:eastAsiaTheme="minorEastAsia" w:cstheme="minorEastAsia"/>
              </w:rPr>
            </w:pPr>
          </w:p>
        </w:tc>
        <w:tc>
          <w:tcPr>
            <w:tcW w:w="1485" w:type="dxa"/>
            <w:vMerge w:val="continue"/>
            <w:vAlign w:val="center"/>
          </w:tcPr>
          <w:p w14:paraId="04FC7656">
            <w:pPr>
              <w:spacing w:line="288" w:lineRule="auto"/>
              <w:jc w:val="center"/>
              <w:rPr>
                <w:rFonts w:asciiTheme="minorEastAsia" w:hAnsiTheme="minorEastAsia" w:eastAsiaTheme="minorEastAsia" w:cstheme="minorEastAsia"/>
              </w:rPr>
            </w:pPr>
          </w:p>
        </w:tc>
        <w:tc>
          <w:tcPr>
            <w:tcW w:w="1910" w:type="dxa"/>
            <w:vAlign w:val="center"/>
          </w:tcPr>
          <w:p w14:paraId="0509461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p>
        </w:tc>
        <w:tc>
          <w:tcPr>
            <w:tcW w:w="5146" w:type="dxa"/>
            <w:vAlign w:val="center"/>
          </w:tcPr>
          <w:p w14:paraId="48664D3D">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与营业执照、资质证书、安全生产许可证一致</w:t>
            </w:r>
          </w:p>
        </w:tc>
      </w:tr>
      <w:tr w14:paraId="1D3F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tcPr>
          <w:p w14:paraId="407A5305">
            <w:pPr>
              <w:spacing w:line="288" w:lineRule="auto"/>
              <w:rPr>
                <w:rFonts w:asciiTheme="minorEastAsia" w:hAnsiTheme="minorEastAsia" w:eastAsiaTheme="minorEastAsia" w:cstheme="minorEastAsia"/>
              </w:rPr>
            </w:pPr>
          </w:p>
        </w:tc>
        <w:tc>
          <w:tcPr>
            <w:tcW w:w="1485" w:type="dxa"/>
            <w:vMerge w:val="continue"/>
          </w:tcPr>
          <w:p w14:paraId="6F8291B0">
            <w:pPr>
              <w:spacing w:line="288" w:lineRule="auto"/>
              <w:rPr>
                <w:rFonts w:asciiTheme="minorEastAsia" w:hAnsiTheme="minorEastAsia" w:eastAsiaTheme="minorEastAsia" w:cstheme="minorEastAsia"/>
              </w:rPr>
            </w:pPr>
          </w:p>
        </w:tc>
        <w:tc>
          <w:tcPr>
            <w:tcW w:w="1910" w:type="dxa"/>
            <w:vAlign w:val="center"/>
          </w:tcPr>
          <w:p w14:paraId="6ED0C15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电子签章或盖章或签字</w:t>
            </w:r>
          </w:p>
        </w:tc>
        <w:tc>
          <w:tcPr>
            <w:tcW w:w="5146" w:type="dxa"/>
            <w:vAlign w:val="center"/>
          </w:tcPr>
          <w:p w14:paraId="06E5ADB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企业电子签章或盖章或个人电子签章或盖章或签字符合磋商文件要求</w:t>
            </w:r>
          </w:p>
        </w:tc>
      </w:tr>
      <w:tr w14:paraId="0BBB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tcPr>
          <w:p w14:paraId="3D70322E">
            <w:pPr>
              <w:spacing w:line="288" w:lineRule="auto"/>
              <w:rPr>
                <w:rFonts w:asciiTheme="minorEastAsia" w:hAnsiTheme="minorEastAsia" w:eastAsiaTheme="minorEastAsia" w:cstheme="minorEastAsia"/>
              </w:rPr>
            </w:pPr>
          </w:p>
        </w:tc>
        <w:tc>
          <w:tcPr>
            <w:tcW w:w="1485" w:type="dxa"/>
            <w:vMerge w:val="continue"/>
          </w:tcPr>
          <w:p w14:paraId="01EAF335">
            <w:pPr>
              <w:spacing w:line="288" w:lineRule="auto"/>
              <w:rPr>
                <w:rFonts w:asciiTheme="minorEastAsia" w:hAnsiTheme="minorEastAsia" w:eastAsiaTheme="minorEastAsia" w:cstheme="minorEastAsia"/>
              </w:rPr>
            </w:pPr>
          </w:p>
        </w:tc>
        <w:tc>
          <w:tcPr>
            <w:tcW w:w="1910" w:type="dxa"/>
            <w:vAlign w:val="center"/>
          </w:tcPr>
          <w:p w14:paraId="57E04C3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报价唯一</w:t>
            </w:r>
          </w:p>
        </w:tc>
        <w:tc>
          <w:tcPr>
            <w:tcW w:w="5146" w:type="dxa"/>
            <w:vAlign w:val="center"/>
          </w:tcPr>
          <w:p w14:paraId="748B9F16">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只能有一个有效磋商报价且不高于最高限价</w:t>
            </w:r>
          </w:p>
        </w:tc>
      </w:tr>
      <w:tr w14:paraId="7D66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restart"/>
            <w:vAlign w:val="center"/>
          </w:tcPr>
          <w:p w14:paraId="1A2A1843">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1485" w:type="dxa"/>
            <w:vMerge w:val="restart"/>
            <w:vAlign w:val="center"/>
          </w:tcPr>
          <w:p w14:paraId="3F4FA267">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资格评审</w:t>
            </w:r>
          </w:p>
          <w:p w14:paraId="3DA50B0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标准</w:t>
            </w:r>
          </w:p>
        </w:tc>
        <w:tc>
          <w:tcPr>
            <w:tcW w:w="1910" w:type="dxa"/>
            <w:vAlign w:val="center"/>
          </w:tcPr>
          <w:p w14:paraId="1D834997">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《中华人民共和国政府采购法》第二十二条规定</w:t>
            </w:r>
          </w:p>
        </w:tc>
        <w:tc>
          <w:tcPr>
            <w:tcW w:w="5146" w:type="dxa"/>
            <w:vAlign w:val="center"/>
          </w:tcPr>
          <w:p w14:paraId="41A04EAA">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提供第八章“响应文件格式中“”的磋商承诺函；</w:t>
            </w:r>
          </w:p>
        </w:tc>
      </w:tr>
      <w:tr w14:paraId="054E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733B9F93">
            <w:pPr>
              <w:spacing w:line="288" w:lineRule="auto"/>
              <w:jc w:val="center"/>
              <w:rPr>
                <w:rFonts w:asciiTheme="minorEastAsia" w:hAnsiTheme="minorEastAsia" w:eastAsiaTheme="minorEastAsia" w:cstheme="minorEastAsia"/>
              </w:rPr>
            </w:pPr>
          </w:p>
        </w:tc>
        <w:tc>
          <w:tcPr>
            <w:tcW w:w="1485" w:type="dxa"/>
            <w:vMerge w:val="continue"/>
            <w:vAlign w:val="center"/>
          </w:tcPr>
          <w:p w14:paraId="4FA3CBCE">
            <w:pPr>
              <w:spacing w:line="288" w:lineRule="auto"/>
              <w:jc w:val="center"/>
              <w:rPr>
                <w:rFonts w:asciiTheme="minorEastAsia" w:hAnsiTheme="minorEastAsia" w:eastAsiaTheme="minorEastAsia" w:cstheme="minorEastAsia"/>
              </w:rPr>
            </w:pPr>
          </w:p>
        </w:tc>
        <w:tc>
          <w:tcPr>
            <w:tcW w:w="1910" w:type="dxa"/>
            <w:vAlign w:val="center"/>
          </w:tcPr>
          <w:p w14:paraId="2CBFDC6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营业执照</w:t>
            </w:r>
          </w:p>
        </w:tc>
        <w:tc>
          <w:tcPr>
            <w:tcW w:w="5146" w:type="dxa"/>
            <w:vAlign w:val="center"/>
          </w:tcPr>
          <w:p w14:paraId="7436D678">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符合第二章“供应商须知”第1.4.1项规定；</w:t>
            </w:r>
          </w:p>
        </w:tc>
      </w:tr>
      <w:tr w14:paraId="0BAC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3F380F41">
            <w:pPr>
              <w:spacing w:line="288" w:lineRule="auto"/>
              <w:jc w:val="center"/>
              <w:rPr>
                <w:rFonts w:asciiTheme="minorEastAsia" w:hAnsiTheme="minorEastAsia" w:eastAsiaTheme="minorEastAsia" w:cstheme="minorEastAsia"/>
              </w:rPr>
            </w:pPr>
          </w:p>
        </w:tc>
        <w:tc>
          <w:tcPr>
            <w:tcW w:w="1485" w:type="dxa"/>
            <w:vMerge w:val="continue"/>
            <w:vAlign w:val="center"/>
          </w:tcPr>
          <w:p w14:paraId="6CE7877A">
            <w:pPr>
              <w:spacing w:line="288" w:lineRule="auto"/>
              <w:jc w:val="center"/>
              <w:rPr>
                <w:rFonts w:asciiTheme="minorEastAsia" w:hAnsiTheme="minorEastAsia" w:eastAsiaTheme="minorEastAsia" w:cstheme="minorEastAsia"/>
              </w:rPr>
            </w:pPr>
          </w:p>
        </w:tc>
        <w:tc>
          <w:tcPr>
            <w:tcW w:w="1910" w:type="dxa"/>
            <w:vAlign w:val="center"/>
          </w:tcPr>
          <w:p w14:paraId="6813FA3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资质证书</w:t>
            </w:r>
          </w:p>
        </w:tc>
        <w:tc>
          <w:tcPr>
            <w:tcW w:w="5146" w:type="dxa"/>
            <w:vAlign w:val="center"/>
          </w:tcPr>
          <w:p w14:paraId="0466180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符合第二章“供应商须知”第1.4.1项规定；</w:t>
            </w:r>
          </w:p>
        </w:tc>
      </w:tr>
      <w:tr w14:paraId="441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17DC6318">
            <w:pPr>
              <w:spacing w:line="288" w:lineRule="auto"/>
              <w:jc w:val="center"/>
              <w:rPr>
                <w:rFonts w:asciiTheme="minorEastAsia" w:hAnsiTheme="minorEastAsia" w:eastAsiaTheme="minorEastAsia" w:cstheme="minorEastAsia"/>
              </w:rPr>
            </w:pPr>
          </w:p>
        </w:tc>
        <w:tc>
          <w:tcPr>
            <w:tcW w:w="1485" w:type="dxa"/>
            <w:vMerge w:val="continue"/>
            <w:vAlign w:val="center"/>
          </w:tcPr>
          <w:p w14:paraId="51BD95FA">
            <w:pPr>
              <w:spacing w:line="288" w:lineRule="auto"/>
              <w:rPr>
                <w:rFonts w:asciiTheme="minorEastAsia" w:hAnsiTheme="minorEastAsia" w:eastAsiaTheme="minorEastAsia" w:cstheme="minorEastAsia"/>
              </w:rPr>
            </w:pPr>
          </w:p>
        </w:tc>
        <w:tc>
          <w:tcPr>
            <w:tcW w:w="1910" w:type="dxa"/>
            <w:vAlign w:val="center"/>
          </w:tcPr>
          <w:p w14:paraId="38AC753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安全生产许可证</w:t>
            </w:r>
          </w:p>
        </w:tc>
        <w:tc>
          <w:tcPr>
            <w:tcW w:w="5146" w:type="dxa"/>
            <w:vAlign w:val="center"/>
          </w:tcPr>
          <w:p w14:paraId="6949EC55">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符合第二章“供应商须知”第1.4.1项规定；</w:t>
            </w:r>
          </w:p>
        </w:tc>
      </w:tr>
      <w:tr w14:paraId="150B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7B61D90E">
            <w:pPr>
              <w:spacing w:line="288" w:lineRule="auto"/>
              <w:jc w:val="center"/>
              <w:rPr>
                <w:rFonts w:asciiTheme="minorEastAsia" w:hAnsiTheme="minorEastAsia" w:eastAsiaTheme="minorEastAsia" w:cstheme="minorEastAsia"/>
              </w:rPr>
            </w:pPr>
          </w:p>
        </w:tc>
        <w:tc>
          <w:tcPr>
            <w:tcW w:w="1485" w:type="dxa"/>
            <w:vMerge w:val="continue"/>
            <w:vAlign w:val="center"/>
          </w:tcPr>
          <w:p w14:paraId="331FB4A6">
            <w:pPr>
              <w:spacing w:line="288" w:lineRule="auto"/>
              <w:rPr>
                <w:rFonts w:asciiTheme="minorEastAsia" w:hAnsiTheme="minorEastAsia" w:eastAsiaTheme="minorEastAsia" w:cstheme="minorEastAsia"/>
              </w:rPr>
            </w:pPr>
          </w:p>
        </w:tc>
        <w:tc>
          <w:tcPr>
            <w:tcW w:w="1910" w:type="dxa"/>
            <w:vAlign w:val="center"/>
          </w:tcPr>
          <w:p w14:paraId="100071F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5146" w:type="dxa"/>
            <w:vAlign w:val="center"/>
          </w:tcPr>
          <w:p w14:paraId="0FDFD174">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符合第二章“供应商须知”第1.4.1项规定；</w:t>
            </w:r>
          </w:p>
        </w:tc>
      </w:tr>
      <w:tr w14:paraId="606A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5F781F18">
            <w:pPr>
              <w:spacing w:line="288" w:lineRule="auto"/>
              <w:jc w:val="center"/>
              <w:rPr>
                <w:rFonts w:asciiTheme="minorEastAsia" w:hAnsiTheme="minorEastAsia" w:eastAsiaTheme="minorEastAsia" w:cstheme="minorEastAsia"/>
              </w:rPr>
            </w:pPr>
          </w:p>
        </w:tc>
        <w:tc>
          <w:tcPr>
            <w:tcW w:w="1485" w:type="dxa"/>
            <w:vMerge w:val="continue"/>
            <w:vAlign w:val="center"/>
          </w:tcPr>
          <w:p w14:paraId="72B9C606">
            <w:pPr>
              <w:spacing w:line="288" w:lineRule="auto"/>
              <w:rPr>
                <w:rFonts w:asciiTheme="minorEastAsia" w:hAnsiTheme="minorEastAsia" w:eastAsiaTheme="minorEastAsia" w:cstheme="minorEastAsia"/>
              </w:rPr>
            </w:pPr>
          </w:p>
        </w:tc>
        <w:tc>
          <w:tcPr>
            <w:tcW w:w="1910" w:type="dxa"/>
            <w:vAlign w:val="center"/>
          </w:tcPr>
          <w:p w14:paraId="3216CDE7">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信誉要求</w:t>
            </w:r>
          </w:p>
        </w:tc>
        <w:tc>
          <w:tcPr>
            <w:tcW w:w="5146" w:type="dxa"/>
            <w:vAlign w:val="center"/>
          </w:tcPr>
          <w:p w14:paraId="41B14446">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符合第二章“供应商须知”第1.4.1项规定；</w:t>
            </w:r>
          </w:p>
        </w:tc>
      </w:tr>
      <w:tr w14:paraId="424E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vAlign w:val="center"/>
          </w:tcPr>
          <w:p w14:paraId="3BBC59E4">
            <w:pPr>
              <w:spacing w:line="288" w:lineRule="auto"/>
              <w:jc w:val="center"/>
              <w:rPr>
                <w:rFonts w:asciiTheme="minorEastAsia" w:hAnsiTheme="minorEastAsia" w:eastAsiaTheme="minorEastAsia" w:cstheme="minorEastAsia"/>
              </w:rPr>
            </w:pPr>
          </w:p>
        </w:tc>
        <w:tc>
          <w:tcPr>
            <w:tcW w:w="1485" w:type="dxa"/>
            <w:vMerge w:val="continue"/>
            <w:vAlign w:val="center"/>
          </w:tcPr>
          <w:p w14:paraId="0415FBA3">
            <w:pPr>
              <w:spacing w:line="288" w:lineRule="auto"/>
              <w:rPr>
                <w:rFonts w:asciiTheme="minorEastAsia" w:hAnsiTheme="minorEastAsia" w:eastAsiaTheme="minorEastAsia" w:cstheme="minorEastAsia"/>
              </w:rPr>
            </w:pPr>
          </w:p>
        </w:tc>
        <w:tc>
          <w:tcPr>
            <w:tcW w:w="1910" w:type="dxa"/>
            <w:vAlign w:val="center"/>
          </w:tcPr>
          <w:p w14:paraId="74B2B3D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其它</w:t>
            </w:r>
          </w:p>
        </w:tc>
        <w:tc>
          <w:tcPr>
            <w:tcW w:w="5146" w:type="dxa"/>
            <w:vAlign w:val="center"/>
          </w:tcPr>
          <w:p w14:paraId="1F84B535">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符合第二章“供应商须知”第1.4.1项规定；</w:t>
            </w:r>
          </w:p>
        </w:tc>
      </w:tr>
      <w:tr w14:paraId="121F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restart"/>
            <w:vAlign w:val="center"/>
          </w:tcPr>
          <w:p w14:paraId="58AB3DB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1485" w:type="dxa"/>
            <w:vMerge w:val="restart"/>
            <w:vAlign w:val="center"/>
          </w:tcPr>
          <w:p w14:paraId="7BECAEA3">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响应性评审</w:t>
            </w:r>
          </w:p>
          <w:p w14:paraId="6E07ED35">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标准</w:t>
            </w:r>
          </w:p>
        </w:tc>
        <w:tc>
          <w:tcPr>
            <w:tcW w:w="1910" w:type="dxa"/>
            <w:vAlign w:val="center"/>
          </w:tcPr>
          <w:p w14:paraId="746CEC63">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磋商范围</w:t>
            </w:r>
          </w:p>
        </w:tc>
        <w:tc>
          <w:tcPr>
            <w:tcW w:w="5146" w:type="dxa"/>
            <w:vAlign w:val="center"/>
          </w:tcPr>
          <w:p w14:paraId="5899B1EE">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符合第二章“供应商须知”第1.3.1项规定；</w:t>
            </w:r>
          </w:p>
        </w:tc>
      </w:tr>
      <w:tr w14:paraId="2537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tcPr>
          <w:p w14:paraId="4CDA5376">
            <w:pPr>
              <w:spacing w:line="288" w:lineRule="auto"/>
              <w:rPr>
                <w:rFonts w:asciiTheme="minorEastAsia" w:hAnsiTheme="minorEastAsia" w:eastAsiaTheme="minorEastAsia" w:cstheme="minorEastAsia"/>
              </w:rPr>
            </w:pPr>
          </w:p>
        </w:tc>
        <w:tc>
          <w:tcPr>
            <w:tcW w:w="1485" w:type="dxa"/>
            <w:vMerge w:val="continue"/>
          </w:tcPr>
          <w:p w14:paraId="52EF8347">
            <w:pPr>
              <w:spacing w:line="288" w:lineRule="auto"/>
              <w:rPr>
                <w:rFonts w:asciiTheme="minorEastAsia" w:hAnsiTheme="minorEastAsia" w:eastAsiaTheme="minorEastAsia" w:cstheme="minorEastAsia"/>
              </w:rPr>
            </w:pPr>
          </w:p>
        </w:tc>
        <w:tc>
          <w:tcPr>
            <w:tcW w:w="1910" w:type="dxa"/>
            <w:vAlign w:val="center"/>
          </w:tcPr>
          <w:p w14:paraId="1BB78D7A">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计划工期</w:t>
            </w:r>
          </w:p>
        </w:tc>
        <w:tc>
          <w:tcPr>
            <w:tcW w:w="5146" w:type="dxa"/>
            <w:vAlign w:val="center"/>
          </w:tcPr>
          <w:p w14:paraId="2FD08E19">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符合第二章“供应商须知”第1.3.2项规定；</w:t>
            </w:r>
          </w:p>
        </w:tc>
      </w:tr>
      <w:tr w14:paraId="0606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tcPr>
          <w:p w14:paraId="41A2C978">
            <w:pPr>
              <w:spacing w:line="288" w:lineRule="auto"/>
              <w:rPr>
                <w:rFonts w:asciiTheme="minorEastAsia" w:hAnsiTheme="minorEastAsia" w:eastAsiaTheme="minorEastAsia" w:cstheme="minorEastAsia"/>
              </w:rPr>
            </w:pPr>
          </w:p>
        </w:tc>
        <w:tc>
          <w:tcPr>
            <w:tcW w:w="1485" w:type="dxa"/>
            <w:vMerge w:val="continue"/>
          </w:tcPr>
          <w:p w14:paraId="3861979C">
            <w:pPr>
              <w:spacing w:line="288" w:lineRule="auto"/>
              <w:rPr>
                <w:rFonts w:asciiTheme="minorEastAsia" w:hAnsiTheme="minorEastAsia" w:eastAsiaTheme="minorEastAsia" w:cstheme="minorEastAsia"/>
              </w:rPr>
            </w:pPr>
          </w:p>
        </w:tc>
        <w:tc>
          <w:tcPr>
            <w:tcW w:w="1910" w:type="dxa"/>
            <w:vAlign w:val="center"/>
          </w:tcPr>
          <w:p w14:paraId="3C0FA13E">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质保期</w:t>
            </w:r>
          </w:p>
        </w:tc>
        <w:tc>
          <w:tcPr>
            <w:tcW w:w="5146" w:type="dxa"/>
            <w:vAlign w:val="center"/>
          </w:tcPr>
          <w:p w14:paraId="3EF36F06">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符合第二章“供应商须知”第1.3.3项规定；</w:t>
            </w:r>
          </w:p>
        </w:tc>
      </w:tr>
      <w:tr w14:paraId="1B18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tcPr>
          <w:p w14:paraId="4FB1461E">
            <w:pPr>
              <w:spacing w:line="288" w:lineRule="auto"/>
              <w:rPr>
                <w:rFonts w:asciiTheme="minorEastAsia" w:hAnsiTheme="minorEastAsia" w:eastAsiaTheme="minorEastAsia" w:cstheme="minorEastAsia"/>
              </w:rPr>
            </w:pPr>
          </w:p>
        </w:tc>
        <w:tc>
          <w:tcPr>
            <w:tcW w:w="1485" w:type="dxa"/>
            <w:vMerge w:val="continue"/>
          </w:tcPr>
          <w:p w14:paraId="3F9F0DB3">
            <w:pPr>
              <w:spacing w:line="288" w:lineRule="auto"/>
              <w:rPr>
                <w:rFonts w:asciiTheme="minorEastAsia" w:hAnsiTheme="minorEastAsia" w:eastAsiaTheme="minorEastAsia" w:cstheme="minorEastAsia"/>
              </w:rPr>
            </w:pPr>
          </w:p>
        </w:tc>
        <w:tc>
          <w:tcPr>
            <w:tcW w:w="1910" w:type="dxa"/>
            <w:vAlign w:val="center"/>
          </w:tcPr>
          <w:p w14:paraId="205D9ED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质量要求</w:t>
            </w:r>
          </w:p>
        </w:tc>
        <w:tc>
          <w:tcPr>
            <w:tcW w:w="5146" w:type="dxa"/>
            <w:vAlign w:val="center"/>
          </w:tcPr>
          <w:p w14:paraId="5809A4FF">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符合第二章“供应商须知”第1.3.4项规定；</w:t>
            </w:r>
          </w:p>
        </w:tc>
      </w:tr>
      <w:tr w14:paraId="6BF7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2" w:type="dxa"/>
            <w:vMerge w:val="continue"/>
          </w:tcPr>
          <w:p w14:paraId="4C5844E1">
            <w:pPr>
              <w:spacing w:line="288" w:lineRule="auto"/>
              <w:rPr>
                <w:rFonts w:asciiTheme="minorEastAsia" w:hAnsiTheme="minorEastAsia" w:eastAsiaTheme="minorEastAsia" w:cstheme="minorEastAsia"/>
              </w:rPr>
            </w:pPr>
          </w:p>
        </w:tc>
        <w:tc>
          <w:tcPr>
            <w:tcW w:w="1485" w:type="dxa"/>
            <w:vMerge w:val="continue"/>
          </w:tcPr>
          <w:p w14:paraId="1D23C95C">
            <w:pPr>
              <w:spacing w:line="288" w:lineRule="auto"/>
              <w:rPr>
                <w:rFonts w:asciiTheme="minorEastAsia" w:hAnsiTheme="minorEastAsia" w:eastAsiaTheme="minorEastAsia" w:cstheme="minorEastAsia"/>
              </w:rPr>
            </w:pPr>
          </w:p>
        </w:tc>
        <w:tc>
          <w:tcPr>
            <w:tcW w:w="1910" w:type="dxa"/>
            <w:vAlign w:val="center"/>
          </w:tcPr>
          <w:p w14:paraId="4D5C74DC">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磋商有效期</w:t>
            </w:r>
          </w:p>
        </w:tc>
        <w:tc>
          <w:tcPr>
            <w:tcW w:w="5146" w:type="dxa"/>
            <w:vAlign w:val="center"/>
          </w:tcPr>
          <w:p w14:paraId="67990C11">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符合第二章“供应商须知”第3.3.1项规定；</w:t>
            </w:r>
          </w:p>
        </w:tc>
      </w:tr>
    </w:tbl>
    <w:p w14:paraId="4C9B2548">
      <w:r>
        <w:br w:type="page"/>
      </w:r>
    </w:p>
    <w:p w14:paraId="6BE19BBE"/>
    <w:tbl>
      <w:tblPr>
        <w:tblStyle w:val="26"/>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517"/>
        <w:gridCol w:w="1951"/>
        <w:gridCol w:w="5257"/>
      </w:tblGrid>
      <w:tr w14:paraId="7D7A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jc w:val="center"/>
        </w:trPr>
        <w:tc>
          <w:tcPr>
            <w:tcW w:w="1033" w:type="dxa"/>
            <w:vAlign w:val="center"/>
          </w:tcPr>
          <w:p w14:paraId="20476F89">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条款号</w:t>
            </w:r>
          </w:p>
        </w:tc>
        <w:tc>
          <w:tcPr>
            <w:tcW w:w="1517" w:type="dxa"/>
            <w:vAlign w:val="center"/>
          </w:tcPr>
          <w:p w14:paraId="69E4207D">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条款内容</w:t>
            </w:r>
          </w:p>
        </w:tc>
        <w:tc>
          <w:tcPr>
            <w:tcW w:w="7208" w:type="dxa"/>
            <w:gridSpan w:val="2"/>
            <w:vAlign w:val="center"/>
          </w:tcPr>
          <w:p w14:paraId="7AB32F8E">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编列内容</w:t>
            </w:r>
          </w:p>
        </w:tc>
      </w:tr>
      <w:tr w14:paraId="62B7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33" w:type="dxa"/>
            <w:vAlign w:val="center"/>
          </w:tcPr>
          <w:p w14:paraId="05163313">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2.2.1</w:t>
            </w:r>
          </w:p>
        </w:tc>
        <w:tc>
          <w:tcPr>
            <w:tcW w:w="1517" w:type="dxa"/>
            <w:vAlign w:val="center"/>
          </w:tcPr>
          <w:p w14:paraId="7B9C4E84">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分值组成</w:t>
            </w:r>
          </w:p>
          <w:p w14:paraId="4CF0C6CA">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（总分100分）</w:t>
            </w:r>
          </w:p>
        </w:tc>
        <w:tc>
          <w:tcPr>
            <w:tcW w:w="7208" w:type="dxa"/>
            <w:gridSpan w:val="2"/>
            <w:vAlign w:val="center"/>
          </w:tcPr>
          <w:p w14:paraId="4DEBA9DF">
            <w:pPr>
              <w:pStyle w:val="53"/>
              <w:spacing w:line="288" w:lineRule="auto"/>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磋商报价：20分</w:t>
            </w:r>
          </w:p>
          <w:p w14:paraId="127971EB">
            <w:pPr>
              <w:pStyle w:val="53"/>
              <w:spacing w:line="288" w:lineRule="auto"/>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技术部分：60分</w:t>
            </w:r>
          </w:p>
          <w:p w14:paraId="28989BCC">
            <w:pPr>
              <w:pStyle w:val="53"/>
              <w:spacing w:line="288" w:lineRule="auto"/>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综合部分：10分</w:t>
            </w:r>
          </w:p>
          <w:p w14:paraId="1B79E7CC">
            <w:pPr>
              <w:pStyle w:val="53"/>
              <w:spacing w:line="288" w:lineRule="auto"/>
              <w:jc w:val="both"/>
              <w:rPr>
                <w:rFonts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其他部分：10分</w:t>
            </w:r>
          </w:p>
        </w:tc>
      </w:tr>
      <w:tr w14:paraId="6346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33" w:type="dxa"/>
            <w:vAlign w:val="center"/>
          </w:tcPr>
          <w:p w14:paraId="202F544A">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条款号</w:t>
            </w:r>
          </w:p>
        </w:tc>
        <w:tc>
          <w:tcPr>
            <w:tcW w:w="1517" w:type="dxa"/>
            <w:vAlign w:val="center"/>
          </w:tcPr>
          <w:p w14:paraId="37010FD9">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条款内容</w:t>
            </w:r>
          </w:p>
        </w:tc>
        <w:tc>
          <w:tcPr>
            <w:tcW w:w="7208" w:type="dxa"/>
            <w:gridSpan w:val="2"/>
            <w:vAlign w:val="center"/>
          </w:tcPr>
          <w:p w14:paraId="016753EA">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编列内容</w:t>
            </w:r>
          </w:p>
        </w:tc>
      </w:tr>
      <w:tr w14:paraId="4A44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33" w:type="dxa"/>
            <w:vAlign w:val="center"/>
          </w:tcPr>
          <w:p w14:paraId="424DCDBB">
            <w:pPr>
              <w:spacing w:line="288"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rPr>
              <w:t>2.2.2</w:t>
            </w:r>
          </w:p>
        </w:tc>
        <w:tc>
          <w:tcPr>
            <w:tcW w:w="1517" w:type="dxa"/>
            <w:vAlign w:val="center"/>
          </w:tcPr>
          <w:p w14:paraId="54EB305C">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磋商基准价计算方法</w:t>
            </w:r>
          </w:p>
        </w:tc>
        <w:tc>
          <w:tcPr>
            <w:tcW w:w="7208" w:type="dxa"/>
            <w:gridSpan w:val="2"/>
            <w:vAlign w:val="center"/>
          </w:tcPr>
          <w:p w14:paraId="12CD3C89">
            <w:pPr>
              <w:pStyle w:val="46"/>
              <w:spacing w:line="288" w:lineRule="auto"/>
              <w:rPr>
                <w:rFonts w:asciiTheme="minorEastAsia" w:hAnsiTheme="minorEastAsia" w:eastAsiaTheme="minorEastAsia" w:cstheme="minorEastAsia"/>
                <w:bCs/>
                <w:kern w:val="0"/>
                <w:sz w:val="21"/>
              </w:rPr>
            </w:pPr>
            <w:r>
              <w:rPr>
                <w:rFonts w:hint="eastAsia" w:asciiTheme="minorEastAsia" w:hAnsiTheme="minorEastAsia" w:eastAsiaTheme="minorEastAsia" w:cstheme="minorEastAsia"/>
                <w:bCs/>
                <w:kern w:val="0"/>
                <w:sz w:val="21"/>
              </w:rPr>
              <w:t>有效供应商是指通过形式评审、资格评审、响应性评审的供应商。</w:t>
            </w:r>
          </w:p>
          <w:p w14:paraId="459D40A7">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bCs/>
                <w:kern w:val="0"/>
              </w:rPr>
              <w:t>磋商基准价的确定：有效供应商的最低报价作为磋商基准价。</w:t>
            </w:r>
          </w:p>
        </w:tc>
      </w:tr>
      <w:tr w14:paraId="7835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1033" w:type="dxa"/>
            <w:vAlign w:val="center"/>
          </w:tcPr>
          <w:p w14:paraId="010C7F32">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2.2.3</w:t>
            </w:r>
          </w:p>
          <w:p w14:paraId="0C7CC9FE">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517" w:type="dxa"/>
            <w:vAlign w:val="center"/>
          </w:tcPr>
          <w:p w14:paraId="1DD6B29C">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磋商报价评分</w:t>
            </w:r>
          </w:p>
          <w:p w14:paraId="32A75E96">
            <w:pPr>
              <w:pStyle w:val="53"/>
              <w:spacing w:line="288" w:lineRule="auto"/>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标准20分</w:t>
            </w:r>
          </w:p>
        </w:tc>
        <w:tc>
          <w:tcPr>
            <w:tcW w:w="7208" w:type="dxa"/>
            <w:gridSpan w:val="2"/>
            <w:vAlign w:val="center"/>
          </w:tcPr>
          <w:p w14:paraId="04F510E2">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计算方法如下：</w:t>
            </w:r>
          </w:p>
          <w:p w14:paraId="3ACBA996">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（1）评审原则：报价应在实质性响应竞争性磋商文件要求的基础上，以报价的高低和合理性作为评分依据。</w:t>
            </w:r>
          </w:p>
          <w:p w14:paraId="378B4A05">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（2）评审方法：磋商报价得分=磋商基准价/磋商报价×20×100%</w:t>
            </w:r>
          </w:p>
          <w:p w14:paraId="63A1D134">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在磋商过程中，磋商小组认为供应商的磋商报价明显低于其他磋商报价，使其磋商报价可能低于其成本的，磋商小组应当对其质询，并要求该供应商作出书面说明和提供相关的证明材料；该供应商不能合理说明或提供证明材料的，按无效标处理。</w:t>
            </w:r>
          </w:p>
          <w:p w14:paraId="5001D5C9">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注：</w:t>
            </w:r>
            <w:r>
              <w:rPr>
                <w:rFonts w:hint="eastAsia" w:ascii="宋体" w:hAnsi="宋体" w:eastAsia="宋体" w:cs="宋体"/>
                <w:color w:val="auto"/>
              </w:rPr>
              <w:t>关于磋商报价评分中给予小微企业优惠的说明：</w:t>
            </w:r>
            <w:r>
              <w:rPr>
                <w:rFonts w:hint="eastAsia" w:ascii="宋体" w:hAnsi="宋体" w:eastAsia="宋体" w:cs="宋体"/>
                <w:b/>
                <w:color w:val="auto"/>
              </w:rPr>
              <w:t>评审时给予小型或微型企业</w:t>
            </w:r>
            <w:r>
              <w:rPr>
                <w:rFonts w:hint="eastAsia" w:ascii="宋体" w:hAnsi="宋体" w:cs="宋体"/>
                <w:b/>
                <w:color w:val="auto"/>
                <w:lang w:val="en-US" w:eastAsia="zh-CN"/>
              </w:rPr>
              <w:t>5</w:t>
            </w:r>
            <w:r>
              <w:rPr>
                <w:rFonts w:hint="eastAsia" w:ascii="宋体" w:hAnsi="宋体" w:eastAsia="宋体" w:cs="宋体"/>
                <w:b/>
                <w:color w:val="auto"/>
              </w:rPr>
              <w:t>%的价格扣除</w:t>
            </w:r>
            <w:r>
              <w:rPr>
                <w:rFonts w:hint="eastAsia" w:ascii="宋体" w:hAnsi="宋体" w:eastAsia="宋体" w:cs="宋体"/>
                <w:color w:val="auto"/>
              </w:rPr>
              <w:t>，用扣除后的价格参与评审。</w:t>
            </w:r>
          </w:p>
        </w:tc>
      </w:tr>
      <w:tr w14:paraId="74B1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33" w:type="dxa"/>
            <w:vMerge w:val="restart"/>
            <w:vAlign w:val="center"/>
          </w:tcPr>
          <w:p w14:paraId="613F6EF1">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2.2.3</w:t>
            </w:r>
          </w:p>
          <w:p w14:paraId="611AD600">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517" w:type="dxa"/>
            <w:vMerge w:val="restart"/>
            <w:vAlign w:val="center"/>
          </w:tcPr>
          <w:p w14:paraId="53346EE4">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技术部分评分</w:t>
            </w:r>
          </w:p>
          <w:p w14:paraId="345DE4E3">
            <w:pPr>
              <w:pStyle w:val="53"/>
              <w:spacing w:line="288" w:lineRule="auto"/>
              <w:jc w:val="both"/>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标准60分</w:t>
            </w:r>
          </w:p>
        </w:tc>
        <w:tc>
          <w:tcPr>
            <w:tcW w:w="1951" w:type="dxa"/>
            <w:vAlign w:val="center"/>
          </w:tcPr>
          <w:p w14:paraId="3F49640C">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产品技术指标（0-30 分）</w:t>
            </w:r>
          </w:p>
        </w:tc>
        <w:tc>
          <w:tcPr>
            <w:tcW w:w="5257" w:type="dxa"/>
            <w:vAlign w:val="center"/>
          </w:tcPr>
          <w:p w14:paraId="716AFD9A">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投标人所提供货物技术参数完全满足或优于招标文件要求的，得满分30分；加★项有一处不满足要求的扣 5分，非加★项有一项不满足要求的扣 3 分，扣完为止。</w:t>
            </w:r>
          </w:p>
        </w:tc>
      </w:tr>
      <w:tr w14:paraId="1786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33" w:type="dxa"/>
            <w:vMerge w:val="continue"/>
            <w:vAlign w:val="center"/>
          </w:tcPr>
          <w:p w14:paraId="630BEB35">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09693067">
            <w:pPr>
              <w:pStyle w:val="53"/>
              <w:spacing w:line="288" w:lineRule="auto"/>
              <w:jc w:val="center"/>
              <w:rPr>
                <w:rFonts w:asciiTheme="minorEastAsia" w:hAnsiTheme="minorEastAsia" w:eastAsiaTheme="minorEastAsia" w:cstheme="minorEastAsia"/>
                <w:color w:val="auto"/>
                <w:sz w:val="21"/>
                <w:szCs w:val="21"/>
              </w:rPr>
            </w:pPr>
          </w:p>
        </w:tc>
        <w:tc>
          <w:tcPr>
            <w:tcW w:w="1951" w:type="dxa"/>
            <w:vAlign w:val="center"/>
          </w:tcPr>
          <w:p w14:paraId="54F18391">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内容完整性和编制水平</w:t>
            </w:r>
          </w:p>
          <w:p w14:paraId="5ECC08C0">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（0-5分）</w:t>
            </w:r>
          </w:p>
        </w:tc>
        <w:tc>
          <w:tcPr>
            <w:tcW w:w="5257" w:type="dxa"/>
            <w:vAlign w:val="center"/>
          </w:tcPr>
          <w:p w14:paraId="533303CF">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内容齐全、描述准确清晰，得5分；</w:t>
            </w:r>
          </w:p>
          <w:p w14:paraId="15BB3124">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内容基本完整，得2分；</w:t>
            </w:r>
          </w:p>
          <w:p w14:paraId="672B1655">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方案措施仅能满足项目实施，得1分。</w:t>
            </w:r>
          </w:p>
        </w:tc>
      </w:tr>
      <w:tr w14:paraId="649E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33" w:type="dxa"/>
            <w:vMerge w:val="continue"/>
            <w:vAlign w:val="center"/>
          </w:tcPr>
          <w:p w14:paraId="7AD538BB">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72405CF5">
            <w:pPr>
              <w:pStyle w:val="53"/>
              <w:spacing w:line="288" w:lineRule="auto"/>
              <w:jc w:val="center"/>
              <w:rPr>
                <w:rFonts w:asciiTheme="minorEastAsia" w:hAnsiTheme="minorEastAsia" w:eastAsiaTheme="minorEastAsia" w:cstheme="minorEastAsia"/>
                <w:color w:val="auto"/>
                <w:sz w:val="21"/>
                <w:szCs w:val="21"/>
              </w:rPr>
            </w:pPr>
          </w:p>
        </w:tc>
        <w:tc>
          <w:tcPr>
            <w:tcW w:w="1951" w:type="dxa"/>
            <w:vAlign w:val="center"/>
          </w:tcPr>
          <w:p w14:paraId="6ECF8738">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施工方案与技术措施</w:t>
            </w:r>
          </w:p>
          <w:p w14:paraId="4C721A9F">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rPr>
              <w:t>（0-5分）</w:t>
            </w:r>
          </w:p>
        </w:tc>
        <w:tc>
          <w:tcPr>
            <w:tcW w:w="5257" w:type="dxa"/>
            <w:vAlign w:val="center"/>
          </w:tcPr>
          <w:p w14:paraId="7C517988">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方案和技术措施科学先进、计划可行、人员分配及作业满足招标项目要求，切实合理，得5分；</w:t>
            </w:r>
          </w:p>
          <w:p w14:paraId="72042A6B">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2方案措施仅能满足项目实施，得2分；</w:t>
            </w:r>
          </w:p>
          <w:p w14:paraId="776E8839">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有方案措施但与项目要求相差较大，得1分。</w:t>
            </w:r>
          </w:p>
        </w:tc>
      </w:tr>
      <w:tr w14:paraId="701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33" w:type="dxa"/>
            <w:vMerge w:val="continue"/>
            <w:vAlign w:val="center"/>
          </w:tcPr>
          <w:p w14:paraId="15527FCE">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63F8258F">
            <w:pPr>
              <w:pStyle w:val="53"/>
              <w:spacing w:line="288" w:lineRule="auto"/>
              <w:jc w:val="center"/>
              <w:rPr>
                <w:rFonts w:asciiTheme="minorEastAsia" w:hAnsiTheme="minorEastAsia" w:eastAsiaTheme="minorEastAsia" w:cstheme="minorEastAsia"/>
                <w:color w:val="auto"/>
                <w:sz w:val="21"/>
                <w:szCs w:val="21"/>
              </w:rPr>
            </w:pPr>
          </w:p>
        </w:tc>
        <w:tc>
          <w:tcPr>
            <w:tcW w:w="1951" w:type="dxa"/>
            <w:vAlign w:val="center"/>
          </w:tcPr>
          <w:p w14:paraId="126B371B">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质量管理体系与措施</w:t>
            </w:r>
          </w:p>
          <w:p w14:paraId="6D2F5149">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（0-4分）</w:t>
            </w:r>
          </w:p>
        </w:tc>
        <w:tc>
          <w:tcPr>
            <w:tcW w:w="5257" w:type="dxa"/>
            <w:vAlign w:val="center"/>
          </w:tcPr>
          <w:p w14:paraId="17C4A1B6">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体系与措施完善，切实合理，得4分；</w:t>
            </w:r>
          </w:p>
          <w:p w14:paraId="2A1EAC2E">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体系与措施符合项目要求、合理可行，得3分；</w:t>
            </w:r>
          </w:p>
          <w:p w14:paraId="004DABCE">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体系与措施符合项目要求、基本合理，得2分；</w:t>
            </w:r>
          </w:p>
          <w:p w14:paraId="722CD430">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rPr>
              <w:t>有体系与措施但与项目要求相差较大，得1分。</w:t>
            </w:r>
          </w:p>
        </w:tc>
      </w:tr>
      <w:tr w14:paraId="6D2F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33" w:type="dxa"/>
            <w:vMerge w:val="continue"/>
            <w:vAlign w:val="center"/>
          </w:tcPr>
          <w:p w14:paraId="7A91AC5C">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53ED1A2D">
            <w:pPr>
              <w:pStyle w:val="53"/>
              <w:spacing w:line="288" w:lineRule="auto"/>
              <w:jc w:val="center"/>
              <w:rPr>
                <w:rFonts w:asciiTheme="minorEastAsia" w:hAnsiTheme="minorEastAsia" w:eastAsiaTheme="minorEastAsia" w:cstheme="minorEastAsia"/>
                <w:color w:val="auto"/>
                <w:sz w:val="21"/>
                <w:szCs w:val="21"/>
              </w:rPr>
            </w:pPr>
          </w:p>
        </w:tc>
        <w:tc>
          <w:tcPr>
            <w:tcW w:w="1951" w:type="dxa"/>
            <w:vAlign w:val="center"/>
          </w:tcPr>
          <w:p w14:paraId="101BE077">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安全文明施工管理体系与措施</w:t>
            </w:r>
          </w:p>
          <w:p w14:paraId="040F73BB">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rPr>
              <w:t>（0-4分）</w:t>
            </w:r>
          </w:p>
        </w:tc>
        <w:tc>
          <w:tcPr>
            <w:tcW w:w="5257" w:type="dxa"/>
            <w:vAlign w:val="center"/>
          </w:tcPr>
          <w:p w14:paraId="6DDE3FCC">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体系与措施完善，切实合理，得4分；</w:t>
            </w:r>
          </w:p>
          <w:p w14:paraId="1321BD35">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体系与措施符合项目要求、合理可行，得3分；</w:t>
            </w:r>
          </w:p>
          <w:p w14:paraId="1809EC7A">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体系与措施符合项目要求、基本合理，得2分；</w:t>
            </w:r>
          </w:p>
          <w:p w14:paraId="36C0E3A9">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有体系与措施但与项目要求相差较大，得1分。</w:t>
            </w:r>
          </w:p>
        </w:tc>
      </w:tr>
      <w:tr w14:paraId="0EA8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33" w:type="dxa"/>
            <w:vMerge w:val="continue"/>
            <w:vAlign w:val="center"/>
          </w:tcPr>
          <w:p w14:paraId="2B7EA43D">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37A3A137">
            <w:pPr>
              <w:pStyle w:val="53"/>
              <w:spacing w:line="288" w:lineRule="auto"/>
              <w:jc w:val="center"/>
              <w:rPr>
                <w:rFonts w:asciiTheme="minorEastAsia" w:hAnsiTheme="minorEastAsia" w:eastAsiaTheme="minorEastAsia" w:cstheme="minorEastAsia"/>
                <w:color w:val="auto"/>
                <w:sz w:val="21"/>
                <w:szCs w:val="21"/>
              </w:rPr>
            </w:pPr>
          </w:p>
        </w:tc>
        <w:tc>
          <w:tcPr>
            <w:tcW w:w="1951" w:type="dxa"/>
            <w:vAlign w:val="center"/>
          </w:tcPr>
          <w:p w14:paraId="2500C14F">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施工工期、工程进度计划与措施</w:t>
            </w:r>
          </w:p>
          <w:p w14:paraId="547D1E2A">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rPr>
              <w:t>（0-4分）</w:t>
            </w:r>
          </w:p>
        </w:tc>
        <w:tc>
          <w:tcPr>
            <w:tcW w:w="5257" w:type="dxa"/>
            <w:vAlign w:val="center"/>
          </w:tcPr>
          <w:p w14:paraId="32E1461C">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计划与措施完善，切实合理，得4分；</w:t>
            </w:r>
          </w:p>
          <w:p w14:paraId="5782959C">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计划与措施符合项目要求、合理可行，得3分；</w:t>
            </w:r>
          </w:p>
          <w:p w14:paraId="3416F927">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计划与措施符合项目要求、基本合理，得2分；</w:t>
            </w:r>
          </w:p>
          <w:p w14:paraId="69D9A15E">
            <w:pPr>
              <w:spacing w:line="288"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有计划与措施但与项目要求相差较大，得1分。</w:t>
            </w:r>
          </w:p>
        </w:tc>
      </w:tr>
      <w:tr w14:paraId="0B4C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33" w:type="dxa"/>
            <w:vMerge w:val="continue"/>
            <w:vAlign w:val="center"/>
          </w:tcPr>
          <w:p w14:paraId="7619144F">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51C2C3E8">
            <w:pPr>
              <w:pStyle w:val="53"/>
              <w:spacing w:line="288" w:lineRule="auto"/>
              <w:jc w:val="center"/>
              <w:rPr>
                <w:rFonts w:asciiTheme="minorEastAsia" w:hAnsiTheme="minorEastAsia" w:eastAsiaTheme="minorEastAsia" w:cstheme="minorEastAsia"/>
                <w:color w:val="auto"/>
                <w:sz w:val="21"/>
                <w:szCs w:val="21"/>
              </w:rPr>
            </w:pPr>
          </w:p>
        </w:tc>
        <w:tc>
          <w:tcPr>
            <w:tcW w:w="1951" w:type="dxa"/>
            <w:vAlign w:val="center"/>
          </w:tcPr>
          <w:p w14:paraId="62BE6934">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资源配备计划</w:t>
            </w:r>
          </w:p>
          <w:p w14:paraId="0430BF3A">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rPr>
              <w:t>（0-4分）</w:t>
            </w:r>
          </w:p>
        </w:tc>
        <w:tc>
          <w:tcPr>
            <w:tcW w:w="5257" w:type="dxa"/>
            <w:vAlign w:val="center"/>
          </w:tcPr>
          <w:p w14:paraId="437DD18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人员及主要机械、工具配备计划能充分满足项目需求且配备计划合理有详细保障措施，得4分；</w:t>
            </w:r>
          </w:p>
          <w:p w14:paraId="64C4BEA9">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配备计划符合项目需求、合理可行，得3分；</w:t>
            </w:r>
          </w:p>
          <w:p w14:paraId="02343954">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配备计划符合项目要求、基本合理，得2分；</w:t>
            </w:r>
          </w:p>
          <w:p w14:paraId="2E1AA389">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有配备计划但与项目要求相差较大，得1分。</w:t>
            </w:r>
          </w:p>
        </w:tc>
      </w:tr>
      <w:tr w14:paraId="2E31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033" w:type="dxa"/>
            <w:vMerge w:val="continue"/>
            <w:vAlign w:val="center"/>
          </w:tcPr>
          <w:p w14:paraId="7688BDBD">
            <w:pPr>
              <w:pStyle w:val="53"/>
              <w:spacing w:line="288" w:lineRule="auto"/>
              <w:rPr>
                <w:rFonts w:asciiTheme="minorEastAsia" w:hAnsiTheme="minorEastAsia" w:eastAsiaTheme="minorEastAsia" w:cstheme="minorEastAsia"/>
                <w:color w:val="auto"/>
                <w:sz w:val="21"/>
                <w:szCs w:val="21"/>
              </w:rPr>
            </w:pPr>
          </w:p>
        </w:tc>
        <w:tc>
          <w:tcPr>
            <w:tcW w:w="1517" w:type="dxa"/>
            <w:vMerge w:val="continue"/>
            <w:vAlign w:val="center"/>
          </w:tcPr>
          <w:p w14:paraId="2EC3F112">
            <w:pPr>
              <w:pStyle w:val="53"/>
              <w:spacing w:line="288" w:lineRule="auto"/>
              <w:rPr>
                <w:rFonts w:asciiTheme="minorEastAsia" w:hAnsiTheme="minorEastAsia" w:eastAsiaTheme="minorEastAsia" w:cstheme="minorEastAsia"/>
                <w:color w:val="auto"/>
                <w:sz w:val="21"/>
                <w:szCs w:val="21"/>
              </w:rPr>
            </w:pPr>
          </w:p>
        </w:tc>
        <w:tc>
          <w:tcPr>
            <w:tcW w:w="1951" w:type="dxa"/>
            <w:vAlign w:val="center"/>
          </w:tcPr>
          <w:p w14:paraId="5A1DBAC6">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成品保护和工程保修工作的管理措施和承诺</w:t>
            </w:r>
          </w:p>
          <w:p w14:paraId="7C37BEC0">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（0-4分）</w:t>
            </w:r>
          </w:p>
        </w:tc>
        <w:tc>
          <w:tcPr>
            <w:tcW w:w="5257" w:type="dxa"/>
            <w:vAlign w:val="center"/>
          </w:tcPr>
          <w:p w14:paraId="1CD248AA">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成品保护和工程保修工作的管理措施和承诺完整健全、科学、合理、可行得4分；</w:t>
            </w:r>
          </w:p>
          <w:p w14:paraId="266CF930">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成品保护和工程保修工作的管理措施和承诺较为完整健全、科学、合理、可行得3分；</w:t>
            </w:r>
          </w:p>
          <w:p w14:paraId="57B3FDD6">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成品保护和工程保修工作的管理措施和承诺完整性、健全性、科学性、合理性、可行性一般得1分。</w:t>
            </w:r>
          </w:p>
        </w:tc>
      </w:tr>
      <w:tr w14:paraId="7AF0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33" w:type="dxa"/>
            <w:vMerge w:val="continue"/>
            <w:vAlign w:val="center"/>
          </w:tcPr>
          <w:p w14:paraId="2856E0EF">
            <w:pPr>
              <w:pStyle w:val="53"/>
              <w:spacing w:line="288" w:lineRule="auto"/>
              <w:rPr>
                <w:rFonts w:asciiTheme="minorEastAsia" w:hAnsiTheme="minorEastAsia" w:eastAsiaTheme="minorEastAsia" w:cstheme="minorEastAsia"/>
                <w:color w:val="auto"/>
                <w:sz w:val="21"/>
                <w:szCs w:val="21"/>
              </w:rPr>
            </w:pPr>
          </w:p>
        </w:tc>
        <w:tc>
          <w:tcPr>
            <w:tcW w:w="1517" w:type="dxa"/>
            <w:vMerge w:val="continue"/>
            <w:vAlign w:val="center"/>
          </w:tcPr>
          <w:p w14:paraId="08F4054E">
            <w:pPr>
              <w:pStyle w:val="53"/>
              <w:spacing w:line="288" w:lineRule="auto"/>
              <w:rPr>
                <w:rFonts w:asciiTheme="minorEastAsia" w:hAnsiTheme="minorEastAsia" w:eastAsiaTheme="minorEastAsia" w:cstheme="minorEastAsia"/>
                <w:color w:val="auto"/>
                <w:sz w:val="21"/>
                <w:szCs w:val="21"/>
              </w:rPr>
            </w:pPr>
          </w:p>
        </w:tc>
        <w:tc>
          <w:tcPr>
            <w:tcW w:w="7208" w:type="dxa"/>
            <w:gridSpan w:val="2"/>
            <w:vAlign w:val="center"/>
          </w:tcPr>
          <w:p w14:paraId="544D2183">
            <w:pPr>
              <w:spacing w:line="288" w:lineRule="auto"/>
              <w:rPr>
                <w:rFonts w:asciiTheme="minorEastAsia" w:hAnsiTheme="minorEastAsia" w:eastAsiaTheme="minorEastAsia" w:cstheme="minorEastAsia"/>
              </w:rPr>
            </w:pPr>
            <w:r>
              <w:rPr>
                <w:rFonts w:hint="eastAsia" w:asciiTheme="minorEastAsia" w:hAnsiTheme="minorEastAsia" w:eastAsiaTheme="minorEastAsia" w:cstheme="minorEastAsia"/>
              </w:rPr>
              <w:t>备注：以上各分项若有缺项，该项为0分。</w:t>
            </w:r>
          </w:p>
        </w:tc>
      </w:tr>
      <w:tr w14:paraId="4EE4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jc w:val="center"/>
        </w:trPr>
        <w:tc>
          <w:tcPr>
            <w:tcW w:w="1033" w:type="dxa"/>
            <w:vMerge w:val="restart"/>
            <w:vAlign w:val="center"/>
          </w:tcPr>
          <w:p w14:paraId="0C26FD0F">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2.2.3</w:t>
            </w:r>
          </w:p>
          <w:p w14:paraId="60F44054">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517" w:type="dxa"/>
            <w:vMerge w:val="restart"/>
            <w:vAlign w:val="center"/>
          </w:tcPr>
          <w:p w14:paraId="15C5D9BD">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综合部分评分标准10分</w:t>
            </w:r>
          </w:p>
        </w:tc>
        <w:tc>
          <w:tcPr>
            <w:tcW w:w="1951" w:type="dxa"/>
            <w:vAlign w:val="center"/>
          </w:tcPr>
          <w:p w14:paraId="6A78CE20">
            <w:pPr>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企业业绩要求</w:t>
            </w:r>
          </w:p>
          <w:p w14:paraId="363B92C8">
            <w:pPr>
              <w:spacing w:line="288" w:lineRule="auto"/>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rPr>
              <w:t>（6分）</w:t>
            </w:r>
          </w:p>
        </w:tc>
        <w:tc>
          <w:tcPr>
            <w:tcW w:w="5257" w:type="dxa"/>
            <w:vAlign w:val="center"/>
          </w:tcPr>
          <w:p w14:paraId="7E51BB59">
            <w:pPr>
              <w:numPr>
                <w:ilvl w:val="0"/>
                <w:numId w:val="4"/>
              </w:numPr>
              <w:spacing w:line="288" w:lineRule="auto"/>
              <w:ind w:left="3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企业业绩要求：</w:t>
            </w:r>
            <w:r>
              <w:rPr>
                <w:rFonts w:hint="eastAsia" w:asciiTheme="minorEastAsia" w:hAnsiTheme="minorEastAsia" w:eastAsiaTheme="minorEastAsia" w:cstheme="minorEastAsia"/>
              </w:rPr>
              <w:t>2022年1月1日以来</w:t>
            </w:r>
            <w:r>
              <w:rPr>
                <w:rFonts w:hint="eastAsia" w:asciiTheme="minorEastAsia" w:hAnsiTheme="minorEastAsia" w:eastAsiaTheme="minorEastAsia" w:cstheme="minorEastAsia"/>
                <w:kern w:val="0"/>
              </w:rPr>
              <w:t>企业承担过与所投项目类似的工程业绩（以合同签订时间为准）。每有一项加1分，最多得3分。</w:t>
            </w:r>
          </w:p>
          <w:p w14:paraId="526CBA6E">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2.项目经理业绩</w:t>
            </w:r>
          </w:p>
          <w:p w14:paraId="064AD79B">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拟派项目经理自2022年1月1日（以合同签订时间为准）以来完成过以来与所投项目类似的工程业绩，每提供一项业绩证明材料得1分，最多得3分。</w:t>
            </w:r>
          </w:p>
          <w:p w14:paraId="204EECE8">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备注：</w:t>
            </w:r>
          </w:p>
          <w:p w14:paraId="5CCDC277">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①以上业绩须提供中标（或成交）公告网页查询截图、中标或成交通知书、合同、竣工验收报告。</w:t>
            </w:r>
          </w:p>
          <w:p w14:paraId="6F6BD309">
            <w:pPr>
              <w:spacing w:line="288" w:lineRule="auto"/>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②项目经理业绩的合同协议书或竣工验收证明须体现项目经理姓名，若无法体现项目经理姓名，须提供委托人开具的相关证明，不提供或未按要求提供的不得分。</w:t>
            </w:r>
          </w:p>
          <w:p w14:paraId="79791D45">
            <w:pPr>
              <w:spacing w:line="288" w:lineRule="auto"/>
              <w:jc w:val="left"/>
              <w:rPr>
                <w:rFonts w:asciiTheme="minorEastAsia" w:hAnsiTheme="minorEastAsia" w:eastAsiaTheme="minorEastAsia" w:cstheme="minorEastAsia"/>
                <w:kern w:val="0"/>
              </w:rPr>
            </w:pPr>
            <w:r>
              <w:rPr>
                <w:rFonts w:asciiTheme="minorEastAsia" w:hAnsiTheme="minorEastAsia" w:eastAsiaTheme="minorEastAsia" w:cstheme="minorEastAsia"/>
                <w:kern w:val="0"/>
              </w:rPr>
              <w:t>③</w:t>
            </w:r>
            <w:r>
              <w:rPr>
                <w:rFonts w:hint="eastAsia" w:asciiTheme="minorEastAsia" w:hAnsiTheme="minorEastAsia" w:eastAsiaTheme="minorEastAsia" w:cstheme="minorEastAsia"/>
                <w:kern w:val="0"/>
              </w:rPr>
              <w:t>企业</w:t>
            </w:r>
            <w:r>
              <w:rPr>
                <w:rFonts w:hint="eastAsia" w:asciiTheme="minorEastAsia" w:hAnsiTheme="minorEastAsia" w:eastAsiaTheme="minorEastAsia" w:cstheme="minorEastAsia"/>
                <w:kern w:val="0"/>
                <w:lang w:val="zh-CN"/>
              </w:rPr>
              <w:t>业绩与项目经理业绩不重复计分。</w:t>
            </w:r>
          </w:p>
        </w:tc>
      </w:tr>
      <w:tr w14:paraId="04F8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033" w:type="dxa"/>
            <w:vMerge w:val="continue"/>
            <w:vAlign w:val="center"/>
          </w:tcPr>
          <w:p w14:paraId="7F6308FC">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294ECDB2">
            <w:pPr>
              <w:pStyle w:val="53"/>
              <w:spacing w:line="288" w:lineRule="auto"/>
              <w:jc w:val="center"/>
              <w:rPr>
                <w:rFonts w:asciiTheme="minorEastAsia" w:hAnsiTheme="minorEastAsia" w:eastAsiaTheme="minorEastAsia" w:cstheme="minorEastAsia"/>
                <w:color w:val="auto"/>
                <w:sz w:val="21"/>
                <w:szCs w:val="21"/>
              </w:rPr>
            </w:pPr>
          </w:p>
        </w:tc>
        <w:tc>
          <w:tcPr>
            <w:tcW w:w="1951" w:type="dxa"/>
          </w:tcPr>
          <w:p w14:paraId="5E11442B">
            <w:pPr>
              <w:spacing w:line="280" w:lineRule="auto"/>
              <w:rPr>
                <w:rFonts w:ascii="Arial"/>
              </w:rPr>
            </w:pPr>
          </w:p>
          <w:p w14:paraId="5295D274">
            <w:pPr>
              <w:spacing w:line="280" w:lineRule="auto"/>
              <w:rPr>
                <w:rFonts w:ascii="Arial"/>
              </w:rPr>
            </w:pPr>
          </w:p>
          <w:p w14:paraId="3FD7BC78">
            <w:pPr>
              <w:pStyle w:val="63"/>
              <w:spacing w:before="65" w:line="227" w:lineRule="auto"/>
              <w:ind w:left="162"/>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项目机构管理</w:t>
            </w:r>
          </w:p>
          <w:p w14:paraId="19EAB743">
            <w:pPr>
              <w:pStyle w:val="63"/>
              <w:spacing w:before="241" w:line="228" w:lineRule="auto"/>
              <w:ind w:left="404"/>
              <w:rPr>
                <w:rFonts w:asciiTheme="minorEastAsia" w:hAnsiTheme="minorEastAsia" w:eastAsiaTheme="minorEastAsia" w:cstheme="minorEastAsia"/>
              </w:rPr>
            </w:pPr>
            <w:r>
              <w:rPr>
                <w:rFonts w:hint="eastAsia" w:asciiTheme="minorEastAsia" w:hAnsiTheme="minorEastAsia" w:eastAsiaTheme="minorEastAsia" w:cstheme="minorEastAsia"/>
                <w:kern w:val="0"/>
              </w:rPr>
              <w:t>（4分）</w:t>
            </w:r>
          </w:p>
        </w:tc>
        <w:tc>
          <w:tcPr>
            <w:tcW w:w="5257" w:type="dxa"/>
          </w:tcPr>
          <w:p w14:paraId="1FC01AD2">
            <w:pPr>
              <w:pStyle w:val="63"/>
              <w:spacing w:before="141" w:line="416" w:lineRule="auto"/>
              <w:ind w:left="112" w:right="261" w:firstLine="2"/>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项目机构管理人员（技术负责人及其他相关特种作业人员）配备合理，其中技术负责人具有相关专业中级（含）及以上职称的得 1分；相关特种作业人员具有岗位证书或相关专业特种作业操作证的，每提供 1 人得1分，最多得 3 分，本项满分4分。</w:t>
            </w:r>
          </w:p>
        </w:tc>
      </w:tr>
      <w:tr w14:paraId="025A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033" w:type="dxa"/>
            <w:vMerge w:val="continue"/>
            <w:vAlign w:val="center"/>
          </w:tcPr>
          <w:p w14:paraId="250CE94A">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restart"/>
            <w:vAlign w:val="center"/>
          </w:tcPr>
          <w:p w14:paraId="5D9B8DBC">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其他部分评分</w:t>
            </w:r>
          </w:p>
          <w:p w14:paraId="31A00C51">
            <w:pPr>
              <w:pStyle w:val="53"/>
              <w:spacing w:line="288" w:lineRule="auto"/>
              <w:jc w:val="center"/>
              <w:rPr>
                <w:rFonts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z w:val="21"/>
                <w:szCs w:val="21"/>
              </w:rPr>
              <w:t>标准（</w:t>
            </w:r>
            <w:r>
              <w:rPr>
                <w:rFonts w:hint="eastAsia" w:asciiTheme="minorEastAsia" w:hAnsiTheme="minorEastAsia" w:eastAsiaTheme="minorEastAsia" w:cstheme="minorEastAsia"/>
                <w:color w:val="auto"/>
                <w:spacing w:val="1"/>
                <w:sz w:val="21"/>
                <w:szCs w:val="21"/>
              </w:rPr>
              <w:t>服务承诺</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pacing w:val="1"/>
                <w:sz w:val="21"/>
                <w:szCs w:val="21"/>
              </w:rPr>
              <w:t>10分</w:t>
            </w:r>
          </w:p>
        </w:tc>
        <w:tc>
          <w:tcPr>
            <w:tcW w:w="1951" w:type="dxa"/>
            <w:vAlign w:val="center"/>
          </w:tcPr>
          <w:p w14:paraId="195DAA95">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合理化建议及保障 措施（4分）</w:t>
            </w:r>
          </w:p>
        </w:tc>
        <w:tc>
          <w:tcPr>
            <w:tcW w:w="5257" w:type="dxa"/>
            <w:vAlign w:val="center"/>
          </w:tcPr>
          <w:p w14:paraId="719E3FB3">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根据本工程的特点和要求，结合自身的条件和潜力，为采购人排忧解难，提出的合理化建议及保障措施。</w:t>
            </w:r>
          </w:p>
          <w:p w14:paraId="5CFE8F3D">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合理化建议及保障措施切实合理，得4分；</w:t>
            </w:r>
          </w:p>
          <w:p w14:paraId="64234DA8">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合理化建议及保障措施符合项目要求、基本合理，得2分；</w:t>
            </w:r>
          </w:p>
          <w:p w14:paraId="0AB9B539">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合理化建议及保障措施仅能满足项目实施，得1分；</w:t>
            </w:r>
          </w:p>
          <w:p w14:paraId="55DB94F8">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缺项不得分。</w:t>
            </w:r>
          </w:p>
        </w:tc>
      </w:tr>
      <w:tr w14:paraId="5BB0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033" w:type="dxa"/>
            <w:vMerge w:val="continue"/>
            <w:vAlign w:val="center"/>
          </w:tcPr>
          <w:p w14:paraId="3AD2CDF9">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73AA60E2">
            <w:pPr>
              <w:pStyle w:val="53"/>
              <w:spacing w:line="288" w:lineRule="auto"/>
              <w:jc w:val="center"/>
              <w:rPr>
                <w:rFonts w:asciiTheme="minorEastAsia" w:hAnsiTheme="minorEastAsia" w:eastAsiaTheme="minorEastAsia" w:cstheme="minorEastAsia"/>
                <w:color w:val="auto"/>
                <w:spacing w:val="1"/>
                <w:sz w:val="21"/>
                <w:szCs w:val="21"/>
              </w:rPr>
            </w:pPr>
          </w:p>
        </w:tc>
        <w:tc>
          <w:tcPr>
            <w:tcW w:w="1951" w:type="dxa"/>
            <w:vAlign w:val="center"/>
          </w:tcPr>
          <w:p w14:paraId="5BD08988">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对保修期内、外服务承诺（4分）</w:t>
            </w:r>
          </w:p>
        </w:tc>
        <w:tc>
          <w:tcPr>
            <w:tcW w:w="5257" w:type="dxa"/>
            <w:vAlign w:val="center"/>
          </w:tcPr>
          <w:p w14:paraId="0D976885">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根据本工程的特点和要求，结合自身的条件和潜力，对保修期内、外服务承诺。</w:t>
            </w:r>
          </w:p>
          <w:p w14:paraId="2203251C">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承诺全面、合理可行得4分；</w:t>
            </w:r>
          </w:p>
          <w:p w14:paraId="7D83709B">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符合项目要求、基本合理，得2分；</w:t>
            </w:r>
          </w:p>
          <w:p w14:paraId="5CD811BD">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承诺仅能满足项目实施，得1分；</w:t>
            </w:r>
          </w:p>
          <w:p w14:paraId="4C253372">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缺项不得分。</w:t>
            </w:r>
          </w:p>
        </w:tc>
      </w:tr>
      <w:tr w14:paraId="0876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33" w:type="dxa"/>
            <w:vMerge w:val="continue"/>
            <w:vAlign w:val="center"/>
          </w:tcPr>
          <w:p w14:paraId="05B3AAB8">
            <w:pPr>
              <w:pStyle w:val="53"/>
              <w:spacing w:line="288" w:lineRule="auto"/>
              <w:jc w:val="center"/>
              <w:rPr>
                <w:rFonts w:asciiTheme="minorEastAsia" w:hAnsiTheme="minorEastAsia" w:eastAsiaTheme="minorEastAsia" w:cstheme="minorEastAsia"/>
                <w:color w:val="auto"/>
                <w:sz w:val="21"/>
                <w:szCs w:val="21"/>
              </w:rPr>
            </w:pPr>
          </w:p>
        </w:tc>
        <w:tc>
          <w:tcPr>
            <w:tcW w:w="1517" w:type="dxa"/>
            <w:vMerge w:val="continue"/>
            <w:vAlign w:val="center"/>
          </w:tcPr>
          <w:p w14:paraId="3D1A304A">
            <w:pPr>
              <w:pStyle w:val="53"/>
              <w:spacing w:line="288" w:lineRule="auto"/>
              <w:jc w:val="center"/>
              <w:rPr>
                <w:rFonts w:asciiTheme="minorEastAsia" w:hAnsiTheme="minorEastAsia" w:eastAsiaTheme="minorEastAsia" w:cstheme="minorEastAsia"/>
                <w:color w:val="auto"/>
                <w:spacing w:val="1"/>
                <w:sz w:val="21"/>
                <w:szCs w:val="21"/>
              </w:rPr>
            </w:pPr>
          </w:p>
        </w:tc>
        <w:tc>
          <w:tcPr>
            <w:tcW w:w="1951" w:type="dxa"/>
            <w:vAlign w:val="center"/>
          </w:tcPr>
          <w:p w14:paraId="36F29A2F">
            <w:pPr>
              <w:pStyle w:val="53"/>
              <w:spacing w:line="288" w:lineRule="auto"/>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不拖欠农民工工资的具体承诺、相应措施（2分）</w:t>
            </w:r>
          </w:p>
        </w:tc>
        <w:tc>
          <w:tcPr>
            <w:tcW w:w="5257" w:type="dxa"/>
            <w:vAlign w:val="center"/>
          </w:tcPr>
          <w:p w14:paraId="1720D971">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承诺全面、合理可行得 2 分；</w:t>
            </w:r>
          </w:p>
          <w:p w14:paraId="7FDE4A33">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其他情况得 1 分；</w:t>
            </w:r>
          </w:p>
          <w:p w14:paraId="5DC08928">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缺项不得分。</w:t>
            </w:r>
          </w:p>
        </w:tc>
      </w:tr>
      <w:tr w14:paraId="6F1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758" w:type="dxa"/>
            <w:gridSpan w:val="4"/>
            <w:vAlign w:val="center"/>
          </w:tcPr>
          <w:p w14:paraId="4D227141">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备注：</w:t>
            </w:r>
          </w:p>
          <w:p w14:paraId="30919759">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1、供应商综合得分=磋商报价得分+施工组织设计得分+企业实力得分+</w:t>
            </w:r>
            <w:r>
              <w:rPr>
                <w:rFonts w:hint="eastAsia" w:asciiTheme="minorEastAsia" w:hAnsiTheme="minorEastAsia" w:eastAsiaTheme="minorEastAsia" w:cstheme="minorEastAsia"/>
                <w:spacing w:val="1"/>
              </w:rPr>
              <w:t>服务承诺</w:t>
            </w:r>
            <w:r>
              <w:rPr>
                <w:rFonts w:hint="eastAsia" w:asciiTheme="minorEastAsia" w:hAnsiTheme="minorEastAsia" w:eastAsiaTheme="minorEastAsia" w:cstheme="minorEastAsia"/>
              </w:rPr>
              <w:t>得分；</w:t>
            </w:r>
          </w:p>
          <w:p w14:paraId="584DDD27">
            <w:pPr>
              <w:spacing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2、在磋商小组成员完成供应商综合得分的汇总后，取算术平均值，作为该供应商的最终得分；</w:t>
            </w:r>
          </w:p>
          <w:p w14:paraId="086890E6">
            <w:pPr>
              <w:autoSpaceDE w:val="0"/>
              <w:autoSpaceDN w:val="0"/>
              <w:adjustRightInd w:val="0"/>
              <w:spacing w:before="50" w:line="288" w:lineRule="auto"/>
              <w:jc w:val="left"/>
              <w:rPr>
                <w:rFonts w:asciiTheme="minorEastAsia" w:hAnsiTheme="minorEastAsia" w:eastAsiaTheme="minorEastAsia" w:cstheme="minorEastAsia"/>
              </w:rPr>
            </w:pPr>
            <w:r>
              <w:rPr>
                <w:rFonts w:hint="eastAsia" w:asciiTheme="minorEastAsia" w:hAnsiTheme="minorEastAsia" w:eastAsiaTheme="minorEastAsia" w:cstheme="minorEastAsia"/>
              </w:rPr>
              <w:t>3、本办法计算过程中分值按四舍五入保留两位小数，最终结果按四舍五入保留两位小数。</w:t>
            </w:r>
          </w:p>
        </w:tc>
      </w:tr>
    </w:tbl>
    <w:p w14:paraId="31F41D20">
      <w:pPr>
        <w:spacing w:line="360" w:lineRule="auto"/>
        <w:ind w:firstLine="420" w:firstLineChars="200"/>
        <w:rPr>
          <w:rFonts w:asciiTheme="minorEastAsia" w:hAnsiTheme="minorEastAsia" w:eastAsiaTheme="minorEastAsia" w:cstheme="minorEastAsia"/>
          <w:sz w:val="24"/>
          <w:szCs w:val="24"/>
        </w:rPr>
      </w:pPr>
      <w:bookmarkStart w:id="65" w:name="_Toc27261"/>
      <w:r>
        <w:rPr>
          <w:rFonts w:hint="eastAsia" w:ascii="楷体" w:hAnsi="楷体" w:eastAsia="楷体" w:cs="楷体"/>
        </w:rPr>
        <w:br w:type="page"/>
      </w:r>
      <w:bookmarkEnd w:id="57"/>
      <w:bookmarkEnd w:id="58"/>
      <w:bookmarkEnd w:id="59"/>
      <w:bookmarkEnd w:id="60"/>
      <w:bookmarkEnd w:id="65"/>
      <w:r>
        <w:rPr>
          <w:rFonts w:hint="eastAsia" w:asciiTheme="minorEastAsia" w:hAnsiTheme="minorEastAsia" w:eastAsiaTheme="minorEastAsia" w:cstheme="minorEastAsia"/>
          <w:b/>
          <w:bCs/>
          <w:sz w:val="24"/>
          <w:szCs w:val="24"/>
        </w:rPr>
        <w:t>1.评审依据</w:t>
      </w:r>
    </w:p>
    <w:p w14:paraId="71F35F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1《中华人民共和国政府采购法》；</w:t>
      </w:r>
    </w:p>
    <w:p w14:paraId="6301556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1.2《中华人民共和国政府采购法实施条例》；</w:t>
      </w:r>
    </w:p>
    <w:p w14:paraId="45D6186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1.3《政府采购竞争性磋商采购方式管理暂行办法》；</w:t>
      </w:r>
    </w:p>
    <w:p w14:paraId="03766BC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政府采购相关法律法规及本项目磋商文件。</w:t>
      </w:r>
    </w:p>
    <w:p w14:paraId="1CBB660D">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2.磋商小组</w:t>
      </w:r>
    </w:p>
    <w:p w14:paraId="3BB85D7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磋商小组构成：由采购人代表和评审专家共3人以上单数组成，其中评审专家人数不得少于磋商小组成员总数的2/3。</w:t>
      </w:r>
    </w:p>
    <w:p w14:paraId="0D64CE6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评审专家与参加采购活动的供应商存在下列利害关系之一的，应当回避：</w:t>
      </w:r>
    </w:p>
    <w:p w14:paraId="405C21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(一)参加采购活动前三年内，与供应商存在劳动关系，或者担任过供应商的董事、监事，或者是供应商的控股股东或实际控制人；</w:t>
      </w:r>
    </w:p>
    <w:p w14:paraId="300BEFA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(二)与供应商的法定代表人或者负责人有夫妻、直系血亲、三代以内旁系血亲或者近姻亲关系；</w:t>
      </w:r>
    </w:p>
    <w:p w14:paraId="5B65365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(三)与供应商有其他可能影响政府采购活动公平、公正进行的关系。</w:t>
      </w:r>
    </w:p>
    <w:p w14:paraId="3A37992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评审专家发现本人与参加采购活动的供应商有利害关系的，应当主动提出回避。采购人或者采购代理机构发现评审专家与参加采购活动的供应商有利害关系的，应当要求其回避。</w:t>
      </w:r>
    </w:p>
    <w:p w14:paraId="4F89DF5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因评审专家缺席、回避或者健康等原因导致评审现场专家数量不符合规定的，采购人或者采购代理机构应当及时补抽评审专家，或者经采购人主管预算单位同意自行选定补足评审专家。无法及时补足评审专家的，采购人或者采购代理机构应当立即停止评审工作，封存所有响应文件和相关资料，依法重新组建磋商小组进行评审。</w:t>
      </w:r>
    </w:p>
    <w:p w14:paraId="25010633">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3.政府采购政策</w:t>
      </w:r>
    </w:p>
    <w:p w14:paraId="2DE84F9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为贯彻落实《财政部工业和信息化部关于印发《政府采购促进中小企业发展管理办法》的通知》（财库〔2020〕46 号）和《关于进一步加大政府采购支持中小企业力度的通知》（财库〔2022〕19号），本项目鼓励中小企业参与，供应商若是中小企业，应提交《中小企业声明函》（声明函格式  详见附件），采购人将对符合本办法规定的小微企业报价给予5%的扣除，用扣除后的价格参加评审。若不能提供，则视为非中小企业，价格不予扣除。</w:t>
      </w:r>
    </w:p>
    <w:p w14:paraId="7193F47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7329CFE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根据《财政部民政部中国残疾人联合会关于关于促进残疾人就业政府采购政策的通知》（财库〔2017〕141 号）规定，本项目支持残疾人福利性单位参与政府采购活动。在政府采购活动中，残疾人福利性单位视同小型、微型企业，享受预留份额、评审中价格扣除等促进中小企业发展的政府采购政策。</w:t>
      </w:r>
    </w:p>
    <w:p w14:paraId="37AFAB82">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4.评分办法与标准</w:t>
      </w:r>
    </w:p>
    <w:p w14:paraId="24B30B6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本次磋商采用综合评分法（满分100分）。</w:t>
      </w:r>
    </w:p>
    <w:p w14:paraId="768C4F3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磋商小组按照本章规定的评审因素和评分标准进行综合评分。</w:t>
      </w:r>
    </w:p>
    <w:p w14:paraId="42C8245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磋商小组根据综合评分情况，按照评审得分由高到低顺序推荐 3 名成交候选供应商，并编写评审报告。评审得分相同的，按照最后报价由低到高的顺序推荐。评审得分且最后报价相同的，按照技术指标优劣顺序推荐。</w:t>
      </w:r>
    </w:p>
    <w:p w14:paraId="6B60ECE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采购人或者采购代理机构负责组织评审工作，并履行相关职责；磋商小组负责具体评审事务，并独立履行相关职责。</w:t>
      </w:r>
    </w:p>
    <w:p w14:paraId="68CC150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评审程序</w:t>
      </w:r>
    </w:p>
    <w:p w14:paraId="3B37663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（一）资格审查、符合性审查</w:t>
      </w:r>
    </w:p>
    <w:p w14:paraId="6CFE2D5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磋商小组对所有符合资格的供应商的响应文件进行形式资格审查、符合性审查，以确定是否满足磋商文件的实质性要求。</w:t>
      </w:r>
    </w:p>
    <w:p w14:paraId="0A98AB4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（二）详细评审</w:t>
      </w:r>
    </w:p>
    <w:p w14:paraId="5E6BC15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磋商小组按照磋商文件中规定的评审办法和标准，对形式性、资格性、响应性审查合格的响应文件进行商务和技术评估，综合比较与评价。</w:t>
      </w:r>
    </w:p>
    <w:p w14:paraId="3F4ADAF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1.响应文件首次报价出现前后不一致的，按照下列规定修正：</w:t>
      </w:r>
    </w:p>
    <w:p w14:paraId="694BDD7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响应文件中开标一览表（报价表）内容与响应文件中相应内容不一致的，以开标一览表（报价表）为准；</w:t>
      </w:r>
    </w:p>
    <w:p w14:paraId="2602F54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大写金额和小写金额不一致的，以大写金额为准；</w:t>
      </w:r>
    </w:p>
    <w:p w14:paraId="118A65D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单价金额小数点或者百分比有明显错位的，以开标一览表的总价为准，并修改单价；</w:t>
      </w:r>
    </w:p>
    <w:p w14:paraId="5EC1F98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总价金额与按单价汇总金额不一致的，以单价金额计算结果为准。</w:t>
      </w:r>
    </w:p>
    <w:p w14:paraId="1F4774F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2.响应文件的澄清</w:t>
      </w:r>
    </w:p>
    <w:p w14:paraId="32B49CB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对于响应文件中含义不明确、同类问题表述不一致或者有明显文字和计算错误的内容，磋商小组应当以书面形式要求供应商作出必要的澄清、说明或者补正。</w:t>
      </w:r>
    </w:p>
    <w:p w14:paraId="10A72BD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供应商的澄清、说明或者补正应当采用书面形式，并加盖公章，或者由法定代表人或其授权的代表签字。供应商的澄清、说明或者补正不得超出响应文件的范围或者改变响应文件的实质性内容。</w:t>
      </w:r>
    </w:p>
    <w:p w14:paraId="6342DF8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磋商小组对供应商提交的澄清、说明或补正有疑问的，可以要求供应商进一步澄清、说明或补正，直至满足磋商小组的要求。</w:t>
      </w:r>
    </w:p>
    <w:p w14:paraId="0112024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3.磋商小组成员对需要共同认定的事项存在争议的，应当按照少数服从多数的原则作出结论。持不同意见的磋商小组成员应当在评审报告上签署不同意见及理由，否则视为同意评审报告。</w:t>
      </w:r>
    </w:p>
    <w:p w14:paraId="786B58B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4.评审结果汇总完成后，除下列情形外，任何人不得修改评审结果：</w:t>
      </w:r>
    </w:p>
    <w:p w14:paraId="7B4D3D7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1）分值汇总计算错误的；</w:t>
      </w:r>
    </w:p>
    <w:p w14:paraId="7A1B312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2）分项评分超出评分标准范围的；</w:t>
      </w:r>
    </w:p>
    <w:p w14:paraId="5243FAC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3）磋商小组成员对客观评审因素评分不一致的；</w:t>
      </w:r>
    </w:p>
    <w:p w14:paraId="6C324C2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4）经磋商小组认定评分畸高、畸低的。</w:t>
      </w:r>
    </w:p>
    <w:p w14:paraId="40BE540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评审报告签署前，经复核发现存在以上情形之一的，磋商小组应当当场修改评审结果，并在评审报告中记载；评审报告签署后，采购人或者采购代理机构发现存在以上情形之一的，应当组织原</w:t>
      </w:r>
      <w:bookmarkStart w:id="66" w:name="bookmark34"/>
      <w:bookmarkEnd w:id="66"/>
      <w:r>
        <w:rPr>
          <w:rFonts w:hint="eastAsia" w:asciiTheme="minorEastAsia" w:hAnsiTheme="minorEastAsia" w:eastAsiaTheme="minorEastAsia" w:cstheme="minorEastAsia"/>
          <w:sz w:val="24"/>
          <w:szCs w:val="24"/>
        </w:rPr>
        <w:t>磋商小组进行重新评审，重新评审改变评审结果的，书面报告本级财政部门。</w:t>
      </w:r>
    </w:p>
    <w:p w14:paraId="65BB9F8C">
      <w:pPr>
        <w:pStyle w:val="2"/>
        <w:numPr>
          <w:ilvl w:val="0"/>
          <w:numId w:val="0"/>
        </w:numPr>
      </w:pPr>
      <w:r>
        <w:rPr>
          <w:rFonts w:hint="eastAsia" w:ascii="楷体" w:hAnsi="楷体" w:eastAsia="楷体" w:cs="楷体"/>
        </w:rPr>
        <w:br w:type="page"/>
      </w:r>
      <w:bookmarkStart w:id="67" w:name="_Toc20632"/>
      <w:bookmarkStart w:id="68" w:name="_Toc29111"/>
      <w:bookmarkStart w:id="69" w:name="_Toc4043"/>
      <w:bookmarkStart w:id="70" w:name="_Toc7301"/>
      <w:bookmarkStart w:id="71" w:name="_Toc152042545"/>
      <w:bookmarkStart w:id="72" w:name="_Toc152045766"/>
      <w:bookmarkStart w:id="73" w:name="_Toc179632784"/>
      <w:bookmarkStart w:id="74" w:name="_Toc144974736"/>
      <w:r>
        <w:rPr>
          <w:rFonts w:hint="eastAsia"/>
        </w:rPr>
        <w:t>第四章  合同条款及格式</w:t>
      </w:r>
      <w:bookmarkEnd w:id="67"/>
      <w:bookmarkEnd w:id="68"/>
      <w:bookmarkEnd w:id="69"/>
      <w:bookmarkEnd w:id="70"/>
    </w:p>
    <w:bookmarkEnd w:id="71"/>
    <w:bookmarkEnd w:id="72"/>
    <w:bookmarkEnd w:id="73"/>
    <w:bookmarkEnd w:id="74"/>
    <w:p w14:paraId="27E86F48">
      <w:pPr>
        <w:jc w:val="center"/>
        <w:rPr>
          <w:rFonts w:asciiTheme="minorEastAsia" w:hAnsiTheme="minorEastAsia" w:eastAsiaTheme="minorEastAsia" w:cstheme="minorEastAsia"/>
          <w:sz w:val="24"/>
          <w:szCs w:val="24"/>
        </w:rPr>
      </w:pPr>
      <w:bookmarkStart w:id="75" w:name="_Toc144974855"/>
      <w:bookmarkStart w:id="76" w:name="_Toc152042575"/>
      <w:bookmarkStart w:id="77" w:name="_Toc152045786"/>
      <w:r>
        <w:rPr>
          <w:rFonts w:hint="eastAsia" w:asciiTheme="minorEastAsia" w:hAnsiTheme="minorEastAsia" w:eastAsiaTheme="minorEastAsia" w:cstheme="minorEastAsia"/>
          <w:sz w:val="24"/>
          <w:szCs w:val="24"/>
        </w:rPr>
        <w:t>参考《建设工程施工合同（示范文本）》（GF—2017—0201）</w:t>
      </w:r>
    </w:p>
    <w:p w14:paraId="7CEEB1B7">
      <w:pPr>
        <w:jc w:val="center"/>
        <w:rPr>
          <w:rFonts w:asciiTheme="minorEastAsia" w:hAnsiTheme="minorEastAsia" w:eastAsiaTheme="minorEastAsia" w:cstheme="minorEastAsia"/>
          <w:sz w:val="24"/>
          <w:szCs w:val="24"/>
        </w:rPr>
      </w:pPr>
    </w:p>
    <w:p w14:paraId="591EC1E0">
      <w:pPr>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5B903B1E">
      <w:pPr>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本合同格式为主要合同条款及基本要求，采购人保留在最终签订本合同前根据实际情况对合同条款进行调整的权利。</w:t>
      </w:r>
    </w:p>
    <w:p w14:paraId="638E70A5">
      <w:pPr>
        <w:rPr>
          <w:rFonts w:ascii="楷体" w:hAnsi="楷体" w:eastAsia="楷体" w:cs="楷体"/>
        </w:rPr>
      </w:pPr>
      <w:r>
        <w:rPr>
          <w:rFonts w:hint="eastAsia" w:ascii="楷体" w:hAnsi="楷体" w:eastAsia="楷体" w:cs="楷体"/>
        </w:rPr>
        <w:br w:type="page"/>
      </w:r>
    </w:p>
    <w:p w14:paraId="46A9C1F8">
      <w:pPr>
        <w:spacing w:line="360" w:lineRule="auto"/>
        <w:jc w:val="center"/>
        <w:rPr>
          <w:b/>
          <w:bCs/>
          <w:sz w:val="24"/>
          <w:szCs w:val="24"/>
        </w:rPr>
      </w:pPr>
      <w:bookmarkStart w:id="78" w:name="_Toc29372"/>
      <w:r>
        <w:rPr>
          <w:rFonts w:hint="eastAsia"/>
          <w:b/>
          <w:bCs/>
          <w:sz w:val="24"/>
          <w:szCs w:val="24"/>
        </w:rPr>
        <w:t>第一部分 合同协议书</w:t>
      </w:r>
      <w:bookmarkEnd w:id="78"/>
    </w:p>
    <w:p w14:paraId="3AC2FC02">
      <w:pPr>
        <w:spacing w:line="360" w:lineRule="auto"/>
        <w:ind w:firstLine="482"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发包人（全称）：</w:t>
      </w:r>
      <w:r>
        <w:rPr>
          <w:rFonts w:hint="eastAsia" w:asciiTheme="minorEastAsia" w:hAnsiTheme="minorEastAsia" w:eastAsiaTheme="minorEastAsia" w:cstheme="minorEastAsia"/>
          <w:b/>
          <w:sz w:val="24"/>
          <w:szCs w:val="24"/>
          <w:u w:val="single"/>
        </w:rPr>
        <w:t xml:space="preserve">                           </w:t>
      </w:r>
    </w:p>
    <w:p w14:paraId="4975DC17">
      <w:pPr>
        <w:spacing w:line="360" w:lineRule="auto"/>
        <w:ind w:firstLine="482"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承包人（全称）：</w:t>
      </w:r>
      <w:r>
        <w:rPr>
          <w:rFonts w:hint="eastAsia" w:asciiTheme="minorEastAsia" w:hAnsiTheme="minorEastAsia" w:eastAsiaTheme="minorEastAsia" w:cstheme="minorEastAsia"/>
          <w:b/>
          <w:sz w:val="24"/>
          <w:szCs w:val="24"/>
          <w:u w:val="single"/>
        </w:rPr>
        <w:t xml:space="preserve">                           </w:t>
      </w:r>
    </w:p>
    <w:p w14:paraId="2753F9B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根据《中华人民共和国民法典》、《中华人民共和国建筑法》及有关法律规定，遵循平等、自愿、公平和诚实信用的原则，双方就工程施工及有关事项协商一致，共同达成如下协议：</w:t>
      </w:r>
    </w:p>
    <w:p w14:paraId="746359DE">
      <w:pPr>
        <w:spacing w:line="360" w:lineRule="auto"/>
        <w:ind w:firstLine="480" w:firstLineChars="200"/>
        <w:rPr>
          <w:rFonts w:asciiTheme="minorEastAsia" w:hAnsiTheme="minorEastAsia" w:eastAsiaTheme="minorEastAsia" w:cstheme="minorEastAsia"/>
          <w:sz w:val="24"/>
          <w:szCs w:val="24"/>
        </w:rPr>
      </w:pPr>
      <w:bookmarkStart w:id="79" w:name="_Toc351203481"/>
      <w:r>
        <w:rPr>
          <w:rFonts w:hint="eastAsia" w:asciiTheme="minorEastAsia" w:hAnsiTheme="minorEastAsia" w:eastAsiaTheme="minorEastAsia" w:cstheme="minorEastAsia"/>
          <w:sz w:val="24"/>
          <w:szCs w:val="24"/>
        </w:rPr>
        <w:t>一、工程概况</w:t>
      </w:r>
      <w:bookmarkEnd w:id="79"/>
    </w:p>
    <w:p w14:paraId="6F9C774A">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Cs/>
          <w:sz w:val="24"/>
          <w:szCs w:val="24"/>
        </w:rPr>
        <w:t>1.工程名称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39B76CE">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2.工程地点：</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0A9D2F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3.工程立项批准文号：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rPr>
        <w:t>。</w:t>
      </w:r>
    </w:p>
    <w:p w14:paraId="04BC3D50">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4.资金来源：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rPr>
        <w:t>。</w:t>
      </w:r>
    </w:p>
    <w:p w14:paraId="61ABCC77">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5.工程内容：</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bCs/>
          <w:sz w:val="24"/>
          <w:szCs w:val="24"/>
        </w:rPr>
        <w:t>。</w:t>
      </w:r>
    </w:p>
    <w:p w14:paraId="65DAA18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6.工程承包范围：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w:t>
      </w:r>
    </w:p>
    <w:p w14:paraId="02E34D72">
      <w:pPr>
        <w:spacing w:line="360" w:lineRule="auto"/>
        <w:ind w:firstLine="480" w:firstLineChars="200"/>
        <w:rPr>
          <w:rFonts w:asciiTheme="minorEastAsia" w:hAnsiTheme="minorEastAsia" w:eastAsiaTheme="minorEastAsia" w:cstheme="minorEastAsia"/>
          <w:sz w:val="24"/>
          <w:szCs w:val="24"/>
        </w:rPr>
      </w:pPr>
      <w:bookmarkStart w:id="80" w:name="_Toc351203482"/>
      <w:r>
        <w:rPr>
          <w:rFonts w:hint="eastAsia" w:asciiTheme="minorEastAsia" w:hAnsiTheme="minorEastAsia" w:eastAsiaTheme="minorEastAsia" w:cstheme="minorEastAsia"/>
          <w:sz w:val="24"/>
          <w:szCs w:val="24"/>
        </w:rPr>
        <w:t>二、合同工期</w:t>
      </w:r>
      <w:bookmarkEnd w:id="80"/>
    </w:p>
    <w:p w14:paraId="584166A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计划开工日期：</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14:paraId="3E0FE37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计划竣工日期：</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w:t>
      </w:r>
    </w:p>
    <w:p w14:paraId="0E1B07F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工期总日历天数：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天。工期总日历天数与根据前述计划开竣工日期计算的工期天数不一致的，以工期总日历天数为准。</w:t>
      </w:r>
      <w:r>
        <w:rPr>
          <w:rFonts w:hint="eastAsia" w:asciiTheme="minorEastAsia" w:hAnsiTheme="minorEastAsia" w:eastAsiaTheme="minorEastAsia" w:cstheme="minorEastAsia"/>
          <w:sz w:val="24"/>
          <w:szCs w:val="24"/>
          <w:u w:val="single"/>
        </w:rPr>
        <w:t>（开工日期以委托方下发开工报告日期为准）</w:t>
      </w:r>
    </w:p>
    <w:p w14:paraId="34CD44E5">
      <w:pPr>
        <w:spacing w:line="360" w:lineRule="auto"/>
        <w:ind w:firstLine="480" w:firstLineChars="200"/>
        <w:rPr>
          <w:rFonts w:asciiTheme="minorEastAsia" w:hAnsiTheme="minorEastAsia" w:eastAsiaTheme="minorEastAsia" w:cstheme="minorEastAsia"/>
          <w:sz w:val="24"/>
          <w:szCs w:val="24"/>
        </w:rPr>
      </w:pPr>
      <w:bookmarkStart w:id="81" w:name="_Toc351203483"/>
      <w:r>
        <w:rPr>
          <w:rFonts w:hint="eastAsia" w:asciiTheme="minorEastAsia" w:hAnsiTheme="minorEastAsia" w:eastAsiaTheme="minorEastAsia" w:cstheme="minorEastAsia"/>
          <w:sz w:val="24"/>
          <w:szCs w:val="24"/>
        </w:rPr>
        <w:t>三、质量标准</w:t>
      </w:r>
      <w:bookmarkEnd w:id="81"/>
    </w:p>
    <w:p w14:paraId="568826C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工程质量符合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标准。</w:t>
      </w:r>
    </w:p>
    <w:p w14:paraId="368DD150">
      <w:pPr>
        <w:spacing w:line="360" w:lineRule="auto"/>
        <w:ind w:firstLine="480" w:firstLineChars="200"/>
        <w:rPr>
          <w:rFonts w:asciiTheme="minorEastAsia" w:hAnsiTheme="minorEastAsia" w:eastAsiaTheme="minorEastAsia" w:cstheme="minorEastAsia"/>
          <w:sz w:val="24"/>
          <w:szCs w:val="24"/>
        </w:rPr>
      </w:pPr>
      <w:bookmarkStart w:id="82" w:name="_Toc351203484"/>
      <w:r>
        <w:rPr>
          <w:rFonts w:hint="eastAsia" w:asciiTheme="minorEastAsia" w:hAnsiTheme="minorEastAsia" w:eastAsiaTheme="minorEastAsia" w:cstheme="minorEastAsia"/>
          <w:sz w:val="24"/>
          <w:szCs w:val="24"/>
        </w:rPr>
        <w:t>四、签约合同价与合同价格形式</w:t>
      </w:r>
      <w:bookmarkEnd w:id="82"/>
      <w:r>
        <w:rPr>
          <w:rFonts w:hint="eastAsia" w:asciiTheme="minorEastAsia" w:hAnsiTheme="minorEastAsia" w:eastAsiaTheme="minorEastAsia" w:cstheme="minorEastAsia"/>
          <w:sz w:val="24"/>
          <w:szCs w:val="24"/>
        </w:rPr>
        <w:tab/>
      </w:r>
    </w:p>
    <w:p w14:paraId="23BFDE5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1.签约合同价为：</w:t>
      </w:r>
    </w:p>
    <w:p w14:paraId="02D9A66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76C442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p w14:paraId="6D20925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（1）安全文明施工费：</w:t>
      </w:r>
    </w:p>
    <w:p w14:paraId="15F9B6D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7E0FFB7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（2）材料和工程设备暂估价金额：</w:t>
      </w:r>
    </w:p>
    <w:p w14:paraId="3B14977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5534108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（3）专业工程暂估价金额：</w:t>
      </w:r>
    </w:p>
    <w:p w14:paraId="2C9D8C8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14CB46E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（4）暂列金额：</w:t>
      </w:r>
    </w:p>
    <w:p w14:paraId="2D1753D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07C8BED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2.合同价格形式：</w:t>
      </w:r>
      <w:r>
        <w:rPr>
          <w:rFonts w:hint="eastAsia" w:asciiTheme="minorEastAsia" w:hAnsiTheme="minorEastAsia" w:eastAsiaTheme="minorEastAsia" w:cstheme="minorEastAsia"/>
          <w:sz w:val="24"/>
          <w:szCs w:val="24"/>
          <w:u w:val="single"/>
        </w:rPr>
        <w:t>固定总价合同</w:t>
      </w:r>
      <w:r>
        <w:rPr>
          <w:rFonts w:hint="eastAsia" w:asciiTheme="minorEastAsia" w:hAnsiTheme="minorEastAsia" w:eastAsiaTheme="minorEastAsia" w:cstheme="minorEastAsia"/>
          <w:sz w:val="24"/>
          <w:szCs w:val="24"/>
        </w:rPr>
        <w:t>。</w:t>
      </w:r>
    </w:p>
    <w:p w14:paraId="1A2B7F37">
      <w:pPr>
        <w:spacing w:line="360" w:lineRule="auto"/>
        <w:ind w:firstLine="480" w:firstLineChars="200"/>
        <w:rPr>
          <w:rFonts w:asciiTheme="minorEastAsia" w:hAnsiTheme="minorEastAsia" w:eastAsiaTheme="minorEastAsia" w:cstheme="minorEastAsia"/>
          <w:sz w:val="24"/>
          <w:szCs w:val="24"/>
        </w:rPr>
      </w:pPr>
      <w:bookmarkStart w:id="83" w:name="_Toc351203485"/>
      <w:r>
        <w:rPr>
          <w:rFonts w:hint="eastAsia" w:asciiTheme="minorEastAsia" w:hAnsiTheme="minorEastAsia" w:eastAsiaTheme="minorEastAsia" w:cstheme="minorEastAsia"/>
          <w:sz w:val="24"/>
          <w:szCs w:val="24"/>
        </w:rPr>
        <w:t>五、</w:t>
      </w:r>
      <w:bookmarkEnd w:id="83"/>
      <w:r>
        <w:rPr>
          <w:rFonts w:hint="eastAsia" w:asciiTheme="minorEastAsia" w:hAnsiTheme="minorEastAsia" w:eastAsiaTheme="minorEastAsia" w:cstheme="minorEastAsia"/>
          <w:sz w:val="24"/>
          <w:szCs w:val="24"/>
        </w:rPr>
        <w:t>项目经理</w:t>
      </w:r>
    </w:p>
    <w:p w14:paraId="18B7DBB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承包人项目经理：</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88F891D">
      <w:pPr>
        <w:spacing w:line="360" w:lineRule="auto"/>
        <w:ind w:firstLine="480" w:firstLineChars="200"/>
        <w:rPr>
          <w:rFonts w:asciiTheme="minorEastAsia" w:hAnsiTheme="minorEastAsia" w:eastAsiaTheme="minorEastAsia" w:cstheme="minorEastAsia"/>
          <w:sz w:val="24"/>
          <w:szCs w:val="24"/>
        </w:rPr>
      </w:pPr>
      <w:bookmarkStart w:id="84" w:name="_Toc351203486"/>
      <w:r>
        <w:rPr>
          <w:rFonts w:hint="eastAsia" w:asciiTheme="minorEastAsia" w:hAnsiTheme="minorEastAsia" w:eastAsiaTheme="minorEastAsia" w:cstheme="minorEastAsia"/>
          <w:sz w:val="24"/>
          <w:szCs w:val="24"/>
        </w:rPr>
        <w:t>六、合同文件构成</w:t>
      </w:r>
      <w:bookmarkEnd w:id="84"/>
    </w:p>
    <w:p w14:paraId="4BFE29CD">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本协议书与下列文件一起构成合同文件：</w:t>
      </w:r>
    </w:p>
    <w:p w14:paraId="11985ED3">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（1）成交通知书（如果有）；</w:t>
      </w:r>
    </w:p>
    <w:p w14:paraId="4FCAC403">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（2）报价函及其附录（如果有）； </w:t>
      </w:r>
    </w:p>
    <w:p w14:paraId="160B2D53">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（3）专用合同条款及其附件；</w:t>
      </w:r>
    </w:p>
    <w:p w14:paraId="40D3E9BA">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（4）通用合同条款；</w:t>
      </w:r>
    </w:p>
    <w:p w14:paraId="08345E7E">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（5）技术标准和要求；</w:t>
      </w:r>
    </w:p>
    <w:p w14:paraId="11981C1F">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（6）图纸；</w:t>
      </w:r>
    </w:p>
    <w:p w14:paraId="31F4EDC7">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（7）已标价工程量清单或预算书；</w:t>
      </w:r>
    </w:p>
    <w:p w14:paraId="1FBE4867">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（8）其他合同文件。</w:t>
      </w:r>
    </w:p>
    <w:p w14:paraId="4E30061B">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26B31775">
      <w:pPr>
        <w:spacing w:line="360" w:lineRule="auto"/>
        <w:ind w:firstLine="480" w:firstLineChars="200"/>
        <w:rPr>
          <w:rFonts w:asciiTheme="minorEastAsia" w:hAnsiTheme="minorEastAsia" w:eastAsiaTheme="minorEastAsia" w:cstheme="minorEastAsia"/>
          <w:sz w:val="24"/>
          <w:szCs w:val="24"/>
        </w:rPr>
      </w:pPr>
      <w:bookmarkStart w:id="85" w:name="_Toc351203487"/>
      <w:r>
        <w:rPr>
          <w:rFonts w:hint="eastAsia" w:asciiTheme="minorEastAsia" w:hAnsiTheme="minorEastAsia" w:eastAsiaTheme="minorEastAsia" w:cstheme="minorEastAsia"/>
          <w:sz w:val="24"/>
          <w:szCs w:val="24"/>
        </w:rPr>
        <w:t>七、承诺</w:t>
      </w:r>
      <w:bookmarkEnd w:id="85"/>
    </w:p>
    <w:p w14:paraId="5CB788CD">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1.发包人承诺按照法律规定履行项目审批手续、筹集工程建设资金并按照合同约定的期限和方式支付合同价款。</w:t>
      </w:r>
    </w:p>
    <w:p w14:paraId="56A317A8">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2.承包人承诺按照法律规定及合同约定组织完成工程施工，确保工程质量和安全，不进行转包及违法分包，并在缺陷责任期及保修期内承担相应的工程维修责任。</w:t>
      </w:r>
    </w:p>
    <w:p w14:paraId="6AB37CC4">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3.发包人和承包人通过招投标形式签订合同的，双方理解并承诺不再就同一工程另行签订与合同实质性内容相背离的协议。</w:t>
      </w:r>
    </w:p>
    <w:p w14:paraId="6AB092E2">
      <w:pPr>
        <w:spacing w:line="360" w:lineRule="auto"/>
        <w:ind w:firstLine="482" w:firstLineChars="200"/>
        <w:rPr>
          <w:rFonts w:asciiTheme="minorEastAsia" w:hAnsiTheme="minorEastAsia" w:eastAsiaTheme="minorEastAsia" w:cstheme="minorEastAsia"/>
          <w:bCs/>
          <w:sz w:val="24"/>
          <w:szCs w:val="24"/>
        </w:rPr>
      </w:pPr>
      <w:bookmarkStart w:id="86" w:name="_Toc351203488"/>
      <w:r>
        <w:rPr>
          <w:rFonts w:hint="eastAsia" w:asciiTheme="minorEastAsia" w:hAnsiTheme="minorEastAsia" w:eastAsiaTheme="minorEastAsia" w:cstheme="minorEastAsia"/>
          <w:b/>
          <w:sz w:val="24"/>
          <w:szCs w:val="24"/>
        </w:rPr>
        <w:t>八、词语含义</w:t>
      </w:r>
      <w:bookmarkEnd w:id="86"/>
    </w:p>
    <w:p w14:paraId="54F28F78">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本协议书中词语含义与第二部分通用合同条款中赋予的含义相同。</w:t>
      </w:r>
    </w:p>
    <w:p w14:paraId="1D80E9F8">
      <w:pPr>
        <w:spacing w:line="360" w:lineRule="auto"/>
        <w:ind w:firstLine="482" w:firstLineChars="200"/>
        <w:rPr>
          <w:rFonts w:asciiTheme="minorEastAsia" w:hAnsiTheme="minorEastAsia" w:eastAsiaTheme="minorEastAsia" w:cstheme="minorEastAsia"/>
          <w:b/>
          <w:sz w:val="24"/>
          <w:szCs w:val="24"/>
        </w:rPr>
      </w:pPr>
      <w:bookmarkStart w:id="87" w:name="_Toc351203489"/>
      <w:r>
        <w:rPr>
          <w:rFonts w:hint="eastAsia" w:asciiTheme="minorEastAsia" w:hAnsiTheme="minorEastAsia" w:eastAsiaTheme="minorEastAsia" w:cstheme="minorEastAsia"/>
          <w:b/>
          <w:sz w:val="24"/>
          <w:szCs w:val="24"/>
        </w:rPr>
        <w:t>九、签订时间</w:t>
      </w:r>
      <w:bookmarkEnd w:id="87"/>
    </w:p>
    <w:p w14:paraId="43CCAD11">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本合同于</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日签订。</w:t>
      </w:r>
    </w:p>
    <w:p w14:paraId="0AC09309">
      <w:pPr>
        <w:spacing w:line="360" w:lineRule="auto"/>
        <w:ind w:firstLine="482" w:firstLineChars="200"/>
        <w:rPr>
          <w:rFonts w:asciiTheme="minorEastAsia" w:hAnsiTheme="minorEastAsia" w:eastAsiaTheme="minorEastAsia" w:cstheme="minorEastAsia"/>
          <w:b/>
          <w:sz w:val="24"/>
          <w:szCs w:val="24"/>
        </w:rPr>
      </w:pPr>
      <w:bookmarkStart w:id="88" w:name="_Toc351203490"/>
      <w:r>
        <w:rPr>
          <w:rFonts w:hint="eastAsia" w:asciiTheme="minorEastAsia" w:hAnsiTheme="minorEastAsia" w:eastAsiaTheme="minorEastAsia" w:cstheme="minorEastAsia"/>
          <w:b/>
          <w:sz w:val="24"/>
          <w:szCs w:val="24"/>
        </w:rPr>
        <w:t>十、签订地点</w:t>
      </w:r>
      <w:bookmarkEnd w:id="88"/>
    </w:p>
    <w:p w14:paraId="46869238">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本合同在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rPr>
        <w:t>签订。</w:t>
      </w:r>
    </w:p>
    <w:p w14:paraId="4F1F586E">
      <w:pPr>
        <w:spacing w:line="360" w:lineRule="auto"/>
        <w:ind w:firstLine="482" w:firstLineChars="200"/>
        <w:rPr>
          <w:rFonts w:asciiTheme="minorEastAsia" w:hAnsiTheme="minorEastAsia" w:eastAsiaTheme="minorEastAsia" w:cstheme="minorEastAsia"/>
          <w:b/>
          <w:sz w:val="24"/>
          <w:szCs w:val="24"/>
        </w:rPr>
      </w:pPr>
      <w:bookmarkStart w:id="89" w:name="_Toc351203491"/>
      <w:r>
        <w:rPr>
          <w:rFonts w:hint="eastAsia" w:asciiTheme="minorEastAsia" w:hAnsiTheme="minorEastAsia" w:eastAsiaTheme="minorEastAsia" w:cstheme="minorEastAsia"/>
          <w:b/>
          <w:sz w:val="24"/>
          <w:szCs w:val="24"/>
        </w:rPr>
        <w:t>十一、补充协议</w:t>
      </w:r>
      <w:bookmarkEnd w:id="89"/>
    </w:p>
    <w:p w14:paraId="1A0293F2">
      <w:pPr>
        <w:spacing w:line="360" w:lineRule="auto"/>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合同未尽事宜，合同当事人另行签订补充协议，补充协议是合同的组成部分。</w:t>
      </w:r>
    </w:p>
    <w:p w14:paraId="4AC47A9F">
      <w:pPr>
        <w:spacing w:line="360" w:lineRule="auto"/>
        <w:ind w:firstLine="482" w:firstLineChars="200"/>
        <w:rPr>
          <w:rFonts w:asciiTheme="minorEastAsia" w:hAnsiTheme="minorEastAsia" w:eastAsiaTheme="minorEastAsia" w:cstheme="minorEastAsia"/>
          <w:b/>
          <w:sz w:val="24"/>
          <w:szCs w:val="24"/>
        </w:rPr>
      </w:pPr>
      <w:bookmarkStart w:id="90" w:name="_Toc351203492"/>
      <w:r>
        <w:rPr>
          <w:rFonts w:hint="eastAsia" w:asciiTheme="minorEastAsia" w:hAnsiTheme="minorEastAsia" w:eastAsiaTheme="minorEastAsia" w:cstheme="minorEastAsia"/>
          <w:b/>
          <w:sz w:val="24"/>
          <w:szCs w:val="24"/>
        </w:rPr>
        <w:t>十二、合同生效</w:t>
      </w:r>
      <w:bookmarkEnd w:id="90"/>
    </w:p>
    <w:p w14:paraId="6611485A">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本合同自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rPr>
        <w:t>生效。</w:t>
      </w:r>
    </w:p>
    <w:p w14:paraId="2FB73B92">
      <w:pPr>
        <w:spacing w:line="360" w:lineRule="auto"/>
        <w:ind w:firstLine="482" w:firstLineChars="200"/>
        <w:rPr>
          <w:rFonts w:asciiTheme="minorEastAsia" w:hAnsiTheme="minorEastAsia" w:eastAsiaTheme="minorEastAsia" w:cstheme="minorEastAsia"/>
          <w:b/>
          <w:sz w:val="24"/>
          <w:szCs w:val="24"/>
        </w:rPr>
      </w:pPr>
      <w:bookmarkStart w:id="91" w:name="_Toc351203493"/>
      <w:r>
        <w:rPr>
          <w:rFonts w:hint="eastAsia" w:asciiTheme="minorEastAsia" w:hAnsiTheme="minorEastAsia" w:eastAsiaTheme="minorEastAsia" w:cstheme="minorEastAsia"/>
          <w:b/>
          <w:sz w:val="24"/>
          <w:szCs w:val="24"/>
        </w:rPr>
        <w:t>十三、合同份数</w:t>
      </w:r>
      <w:bookmarkEnd w:id="91"/>
    </w:p>
    <w:p w14:paraId="0AFE524E">
      <w:pPr>
        <w:pStyle w:val="65"/>
        <w:spacing w:before="0" w:after="0" w:line="360" w:lineRule="auto"/>
        <w:ind w:left="0" w:right="0" w:firstLine="480" w:firstLineChars="200"/>
        <w:rPr>
          <w:rFonts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t xml:space="preserve">本合同一式 </w:t>
      </w:r>
      <w:r>
        <w:rPr>
          <w:rFonts w:hint="eastAsia" w:asciiTheme="minorEastAsia" w:hAnsiTheme="minorEastAsia" w:eastAsiaTheme="minorEastAsia" w:cstheme="minorEastAsia"/>
          <w:kern w:val="2"/>
          <w:szCs w:val="24"/>
          <w:u w:val="single"/>
        </w:rPr>
        <w:t xml:space="preserve">       </w:t>
      </w:r>
      <w:r>
        <w:rPr>
          <w:rFonts w:hint="eastAsia" w:asciiTheme="minorEastAsia" w:hAnsiTheme="minorEastAsia" w:eastAsiaTheme="minorEastAsia" w:cstheme="minorEastAsia"/>
          <w:kern w:val="2"/>
          <w:szCs w:val="24"/>
        </w:rPr>
        <w:t>份，均具有同等法律效力，发包人执</w:t>
      </w:r>
      <w:r>
        <w:rPr>
          <w:rFonts w:hint="eastAsia" w:asciiTheme="minorEastAsia" w:hAnsiTheme="minorEastAsia" w:eastAsiaTheme="minorEastAsia" w:cstheme="minorEastAsia"/>
          <w:kern w:val="2"/>
          <w:szCs w:val="24"/>
          <w:u w:val="single"/>
        </w:rPr>
        <w:t xml:space="preserve">  </w:t>
      </w:r>
      <w:r>
        <w:rPr>
          <w:rFonts w:hint="eastAsia" w:asciiTheme="minorEastAsia" w:hAnsiTheme="minorEastAsia" w:eastAsiaTheme="minorEastAsia" w:cstheme="minorEastAsia"/>
          <w:kern w:val="2"/>
          <w:szCs w:val="24"/>
        </w:rPr>
        <w:t>份，承包人执</w:t>
      </w:r>
      <w:r>
        <w:rPr>
          <w:rFonts w:hint="eastAsia" w:asciiTheme="minorEastAsia" w:hAnsiTheme="minorEastAsia" w:eastAsiaTheme="minorEastAsia" w:cstheme="minorEastAsia"/>
          <w:kern w:val="2"/>
          <w:szCs w:val="24"/>
          <w:u w:val="single"/>
        </w:rPr>
        <w:t xml:space="preserve">   </w:t>
      </w:r>
      <w:r>
        <w:rPr>
          <w:rFonts w:hint="eastAsia" w:asciiTheme="minorEastAsia" w:hAnsiTheme="minorEastAsia" w:eastAsiaTheme="minorEastAsia" w:cstheme="minorEastAsia"/>
          <w:kern w:val="2"/>
          <w:szCs w:val="24"/>
        </w:rPr>
        <w:t>份。</w:t>
      </w:r>
    </w:p>
    <w:p w14:paraId="69799308">
      <w:pPr>
        <w:spacing w:line="360" w:lineRule="auto"/>
        <w:ind w:firstLine="480" w:firstLineChars="200"/>
        <w:rPr>
          <w:rFonts w:asciiTheme="minorEastAsia" w:hAnsiTheme="minorEastAsia" w:eastAsiaTheme="minorEastAsia" w:cstheme="minorEastAsia"/>
          <w:bCs/>
          <w:sz w:val="24"/>
          <w:szCs w:val="24"/>
        </w:rPr>
      </w:pPr>
    </w:p>
    <w:p w14:paraId="735F8D7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  (公章)             承包人：             (公章)</w:t>
      </w:r>
    </w:p>
    <w:p w14:paraId="3C51FE5F">
      <w:pPr>
        <w:spacing w:line="360" w:lineRule="auto"/>
        <w:ind w:firstLine="480" w:firstLineChars="200"/>
        <w:rPr>
          <w:rFonts w:asciiTheme="minorEastAsia" w:hAnsiTheme="minorEastAsia" w:eastAsiaTheme="minorEastAsia" w:cstheme="minorEastAsia"/>
          <w:sz w:val="24"/>
          <w:szCs w:val="24"/>
          <w:u w:val="single"/>
        </w:rPr>
      </w:pPr>
    </w:p>
    <w:p w14:paraId="4FC5962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  法定代表人或其委托代理人：</w:t>
      </w:r>
    </w:p>
    <w:p w14:paraId="48CD32F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                    （签字）</w:t>
      </w:r>
    </w:p>
    <w:p w14:paraId="6C0D327C">
      <w:pPr>
        <w:tabs>
          <w:tab w:val="left" w:pos="441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组织机构代码：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组织机构代码：</w:t>
      </w:r>
      <w:r>
        <w:rPr>
          <w:rFonts w:hint="eastAsia" w:asciiTheme="minorEastAsia" w:hAnsiTheme="minorEastAsia" w:eastAsiaTheme="minorEastAsia" w:cstheme="minorEastAsia"/>
          <w:sz w:val="24"/>
          <w:szCs w:val="24"/>
          <w:u w:val="single"/>
        </w:rPr>
        <w:t xml:space="preserve">                </w:t>
      </w:r>
    </w:p>
    <w:p w14:paraId="11DCB592">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5981F9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                  </w:t>
      </w:r>
    </w:p>
    <w:p w14:paraId="30DF7B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             </w:t>
      </w:r>
    </w:p>
    <w:p w14:paraId="4AC8AD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                   </w:t>
      </w:r>
    </w:p>
    <w:p w14:paraId="4AD0A01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                     </w:t>
      </w:r>
    </w:p>
    <w:p w14:paraId="7B5DA71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传  真：</w:t>
      </w:r>
      <w:r>
        <w:rPr>
          <w:rFonts w:hint="eastAsia" w:asciiTheme="minorEastAsia" w:hAnsiTheme="minorEastAsia" w:eastAsiaTheme="minorEastAsia" w:cstheme="minorEastAsia"/>
          <w:sz w:val="24"/>
          <w:szCs w:val="24"/>
          <w:u w:val="single"/>
        </w:rPr>
        <w:t xml:space="preserve">                     </w:t>
      </w:r>
    </w:p>
    <w:p w14:paraId="30071DF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                    </w:t>
      </w:r>
    </w:p>
    <w:p w14:paraId="40DC18A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 xml:space="preserve">                        </w:t>
      </w:r>
    </w:p>
    <w:p w14:paraId="14241D1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账  号：</w:t>
      </w:r>
      <w:r>
        <w:rPr>
          <w:rFonts w:hint="eastAsia" w:asciiTheme="minorEastAsia" w:hAnsiTheme="minorEastAsia" w:eastAsiaTheme="minorEastAsia" w:cstheme="minorEastAsia"/>
          <w:sz w:val="24"/>
          <w:szCs w:val="24"/>
          <w:u w:val="single"/>
        </w:rPr>
        <w:t xml:space="preserve">                        </w:t>
      </w:r>
    </w:p>
    <w:p w14:paraId="34DB811E">
      <w:pPr>
        <w:pStyle w:val="65"/>
        <w:spacing w:before="0" w:after="0" w:line="360" w:lineRule="auto"/>
        <w:ind w:left="0" w:right="0" w:firstLine="480" w:firstLineChars="200"/>
        <w:rPr>
          <w:rFonts w:asciiTheme="minorEastAsia" w:hAnsiTheme="minorEastAsia" w:eastAsiaTheme="minorEastAsia" w:cstheme="minorEastAsia"/>
          <w:kern w:val="2"/>
          <w:szCs w:val="24"/>
        </w:rPr>
      </w:pPr>
      <w:r>
        <w:rPr>
          <w:rFonts w:hint="eastAsia" w:asciiTheme="minorEastAsia" w:hAnsiTheme="minorEastAsia" w:eastAsiaTheme="minorEastAsia" w:cstheme="minorEastAsia"/>
          <w:kern w:val="2"/>
          <w:szCs w:val="24"/>
        </w:rPr>
        <w:br w:type="page"/>
      </w:r>
    </w:p>
    <w:p w14:paraId="73E9252A">
      <w:pPr>
        <w:spacing w:line="360" w:lineRule="auto"/>
        <w:jc w:val="center"/>
        <w:rPr>
          <w:b/>
          <w:bCs/>
          <w:sz w:val="24"/>
          <w:szCs w:val="24"/>
        </w:rPr>
      </w:pPr>
      <w:bookmarkStart w:id="92" w:name="_Toc351203494"/>
      <w:bookmarkStart w:id="93" w:name="_Toc21881"/>
      <w:bookmarkStart w:id="94" w:name="_Toc24764"/>
      <w:bookmarkStart w:id="95" w:name="_Toc19410"/>
      <w:bookmarkStart w:id="96" w:name="_Toc57191482"/>
      <w:bookmarkStart w:id="97" w:name="_Toc1904"/>
      <w:r>
        <w:rPr>
          <w:rFonts w:hint="eastAsia"/>
          <w:b/>
          <w:bCs/>
          <w:sz w:val="24"/>
          <w:szCs w:val="24"/>
        </w:rPr>
        <w:t>第二部分 通用合同条款</w:t>
      </w:r>
      <w:bookmarkEnd w:id="92"/>
      <w:bookmarkStart w:id="98" w:name="_Toc337558727"/>
      <w:r>
        <w:rPr>
          <w:rFonts w:hint="eastAsia"/>
          <w:b/>
          <w:bCs/>
          <w:sz w:val="24"/>
          <w:szCs w:val="24"/>
        </w:rPr>
        <w:t>(略)</w:t>
      </w:r>
      <w:bookmarkEnd w:id="93"/>
      <w:bookmarkEnd w:id="94"/>
      <w:bookmarkEnd w:id="95"/>
      <w:bookmarkEnd w:id="96"/>
      <w:bookmarkEnd w:id="97"/>
      <w:bookmarkEnd w:id="98"/>
    </w:p>
    <w:p w14:paraId="65222FF1">
      <w:pPr>
        <w:rPr>
          <w:rFonts w:asciiTheme="minorEastAsia" w:hAnsiTheme="minorEastAsia" w:eastAsiaTheme="minorEastAsia" w:cstheme="minorEastAsia"/>
          <w:b/>
          <w:bCs/>
          <w:sz w:val="28"/>
          <w:szCs w:val="28"/>
        </w:rPr>
      </w:pPr>
      <w:bookmarkStart w:id="99" w:name="_Toc8388"/>
      <w:bookmarkStart w:id="100" w:name="_Toc57191483"/>
      <w:bookmarkStart w:id="101" w:name="_Toc11623"/>
      <w:bookmarkStart w:id="102" w:name="_Toc14989"/>
      <w:bookmarkStart w:id="103" w:name="_Toc5222"/>
      <w:r>
        <w:rPr>
          <w:rFonts w:hint="eastAsia" w:asciiTheme="minorEastAsia" w:hAnsiTheme="minorEastAsia" w:eastAsiaTheme="minorEastAsia" w:cstheme="minorEastAsia"/>
          <w:b/>
          <w:bCs/>
          <w:sz w:val="28"/>
          <w:szCs w:val="28"/>
        </w:rPr>
        <w:br w:type="page"/>
      </w:r>
    </w:p>
    <w:p w14:paraId="787D259B">
      <w:pPr>
        <w:spacing w:line="360" w:lineRule="auto"/>
        <w:jc w:val="center"/>
        <w:rPr>
          <w:b/>
          <w:bCs/>
          <w:sz w:val="24"/>
          <w:szCs w:val="24"/>
        </w:rPr>
      </w:pPr>
      <w:r>
        <w:rPr>
          <w:rFonts w:hint="eastAsia"/>
          <w:b/>
          <w:bCs/>
          <w:sz w:val="24"/>
          <w:szCs w:val="24"/>
        </w:rPr>
        <w:t>第三部分 专用合同条款</w:t>
      </w:r>
      <w:bookmarkEnd w:id="99"/>
      <w:bookmarkEnd w:id="100"/>
      <w:bookmarkEnd w:id="101"/>
      <w:bookmarkEnd w:id="102"/>
      <w:bookmarkEnd w:id="103"/>
    </w:p>
    <w:p w14:paraId="532A20E6">
      <w:pPr>
        <w:spacing w:line="360" w:lineRule="auto"/>
        <w:ind w:firstLine="480" w:firstLineChars="200"/>
        <w:rPr>
          <w:rFonts w:asciiTheme="minorEastAsia" w:hAnsiTheme="minorEastAsia" w:eastAsiaTheme="minorEastAsia" w:cstheme="minorEastAsia"/>
          <w:sz w:val="24"/>
          <w:szCs w:val="24"/>
        </w:rPr>
      </w:pPr>
      <w:bookmarkStart w:id="104" w:name="_Toc12586"/>
      <w:bookmarkStart w:id="105" w:name="_Toc8183"/>
      <w:bookmarkStart w:id="106" w:name="_Toc351203633"/>
      <w:bookmarkStart w:id="107" w:name="_Toc25039"/>
      <w:bookmarkStart w:id="108" w:name="_Toc22288"/>
      <w:r>
        <w:rPr>
          <w:rFonts w:hint="eastAsia" w:asciiTheme="minorEastAsia" w:hAnsiTheme="minorEastAsia" w:eastAsiaTheme="minorEastAsia" w:cstheme="minorEastAsia"/>
          <w:sz w:val="24"/>
          <w:szCs w:val="24"/>
        </w:rPr>
        <w:t>1</w:t>
      </w:r>
      <w:bookmarkStart w:id="109" w:name="_Toc292559866"/>
      <w:bookmarkStart w:id="110" w:name="_Toc297048342"/>
      <w:bookmarkStart w:id="111" w:name="_Toc296944495"/>
      <w:bookmarkStart w:id="112" w:name="_Toc296890984"/>
      <w:bookmarkStart w:id="113" w:name="_Toc296503156"/>
      <w:bookmarkStart w:id="114" w:name="_Toc297120456"/>
      <w:bookmarkStart w:id="115" w:name="_Toc296347155"/>
      <w:bookmarkStart w:id="116" w:name="_Toc296346657"/>
      <w:bookmarkStart w:id="117" w:name="_Toc292559361"/>
      <w:bookmarkStart w:id="118" w:name="_Toc296891196"/>
      <w:r>
        <w:rPr>
          <w:rFonts w:hint="eastAsia" w:asciiTheme="minorEastAsia" w:hAnsiTheme="minorEastAsia" w:eastAsiaTheme="minorEastAsia" w:cstheme="minorEastAsia"/>
          <w:sz w:val="24"/>
          <w:szCs w:val="24"/>
        </w:rPr>
        <w:t>. 一般约定</w:t>
      </w:r>
      <w:bookmarkEnd w:id="104"/>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p w14:paraId="433BE81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词语定义</w:t>
      </w:r>
    </w:p>
    <w:p w14:paraId="4A4621FA">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1.1.1合同；</w:t>
      </w:r>
    </w:p>
    <w:p w14:paraId="4D3546D1">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1.1.1.10其他合同文件包括：</w:t>
      </w:r>
      <w:r>
        <w:rPr>
          <w:rFonts w:hint="eastAsia" w:asciiTheme="minorEastAsia" w:hAnsiTheme="minorEastAsia" w:eastAsiaTheme="minorEastAsia" w:cstheme="minorEastAsia"/>
          <w:sz w:val="24"/>
          <w:szCs w:val="24"/>
          <w:u w:val="single"/>
        </w:rPr>
        <w:t xml:space="preserve"> (1)本合同项目竞争性磋商文件 </w:t>
      </w:r>
      <w:r>
        <w:rPr>
          <w:rFonts w:hint="eastAsia" w:asciiTheme="minorEastAsia" w:hAnsiTheme="minorEastAsia" w:eastAsiaTheme="minorEastAsia" w:cstheme="minorEastAsia"/>
          <w:sz w:val="24"/>
          <w:szCs w:val="24"/>
        </w:rPr>
        <w:t>。</w:t>
      </w:r>
    </w:p>
    <w:p w14:paraId="362688B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合同当事人及其他相关方</w:t>
      </w:r>
    </w:p>
    <w:p w14:paraId="3FEF54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1.1.2.4监理人：</w:t>
      </w:r>
    </w:p>
    <w:p w14:paraId="19564C4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01B5FD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资质类别和等级：</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201273F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EF7FA0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2B11904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711C488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1.1.2.5 设计人：</w:t>
      </w:r>
    </w:p>
    <w:p w14:paraId="1B7D8E1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6BD6651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资质类别和等级：</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0475DE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057953F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5B84F14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2153EBA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工程和设备</w:t>
      </w:r>
    </w:p>
    <w:p w14:paraId="2D2A450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1.1.3.7 作为施工现场组成部分的其他场所包括：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5CFEB14">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1.1.3.9 永久占地包括：</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CF16CF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1.1.3.10 临时占地包括：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67A6F96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1.3法律 </w:t>
      </w:r>
    </w:p>
    <w:p w14:paraId="5742C279">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适用于合同的其他规范性文件：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sz w:val="24"/>
          <w:szCs w:val="24"/>
        </w:rPr>
        <w:t>。</w:t>
      </w:r>
    </w:p>
    <w:p w14:paraId="231546A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标准和规范</w:t>
      </w:r>
    </w:p>
    <w:p w14:paraId="230B08B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1.4.1适用于工程的标准规范包括：</w:t>
      </w:r>
      <w:r>
        <w:rPr>
          <w:rFonts w:hint="eastAsia" w:asciiTheme="minorEastAsia" w:hAnsiTheme="minorEastAsia" w:eastAsiaTheme="minorEastAsia" w:cstheme="minorEastAsia"/>
          <w:sz w:val="24"/>
          <w:szCs w:val="24"/>
          <w:u w:val="single"/>
        </w:rPr>
        <w:t>按国家相应标准执行</w:t>
      </w:r>
      <w:r>
        <w:rPr>
          <w:rFonts w:hint="eastAsia" w:asciiTheme="minorEastAsia" w:hAnsiTheme="minorEastAsia" w:eastAsiaTheme="minorEastAsia" w:cstheme="minorEastAsia"/>
          <w:sz w:val="24"/>
          <w:szCs w:val="24"/>
        </w:rPr>
        <w:t>。</w:t>
      </w:r>
    </w:p>
    <w:p w14:paraId="58DB28C5">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1.4.2 发包人提供国外标准、规范的名称：</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7B0177CC">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发包人提供国外标准、规范的份数：</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014C963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发包人提供国外标准、规范的名称：</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2335FD62">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1.4.3发包人对工程的技术标准和功能要求的特殊要求：</w:t>
      </w:r>
      <w:r>
        <w:rPr>
          <w:rFonts w:hint="eastAsia" w:asciiTheme="minorEastAsia" w:hAnsiTheme="minorEastAsia" w:eastAsiaTheme="minorEastAsia" w:cstheme="minorEastAsia"/>
          <w:kern w:val="0"/>
          <w:sz w:val="24"/>
          <w:szCs w:val="24"/>
          <w:u w:val="single"/>
        </w:rPr>
        <w:t xml:space="preserve">                    。</w:t>
      </w:r>
    </w:p>
    <w:p w14:paraId="0760316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5 合同文件的优先顺序</w:t>
      </w:r>
    </w:p>
    <w:p w14:paraId="31DCDA8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合同文件组成及优先顺序为：</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sz w:val="24"/>
          <w:szCs w:val="24"/>
        </w:rPr>
        <w:t>。</w:t>
      </w:r>
    </w:p>
    <w:p w14:paraId="2525908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图纸和承包人文件</w:t>
      </w:r>
      <w:r>
        <w:rPr>
          <w:rFonts w:hint="eastAsia" w:asciiTheme="minorEastAsia" w:hAnsiTheme="minorEastAsia" w:eastAsiaTheme="minorEastAsia" w:cstheme="minorEastAsia"/>
          <w:sz w:val="24"/>
          <w:szCs w:val="24"/>
        </w:rPr>
        <w:tab/>
      </w:r>
    </w:p>
    <w:p w14:paraId="15AF91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图纸的提供</w:t>
      </w:r>
    </w:p>
    <w:p w14:paraId="04BFCD1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发包人向承包人提供图纸的期限：</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sz w:val="24"/>
          <w:szCs w:val="24"/>
        </w:rPr>
        <w:t>；</w:t>
      </w:r>
    </w:p>
    <w:p w14:paraId="0147BDB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发包人向承包人提供图纸的数量：</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sz w:val="24"/>
          <w:szCs w:val="24"/>
        </w:rPr>
        <w:t>；</w:t>
      </w:r>
    </w:p>
    <w:p w14:paraId="32CB5A4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发包人向承包人提供图纸的内容：</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sz w:val="24"/>
          <w:szCs w:val="24"/>
        </w:rPr>
        <w:t>。</w:t>
      </w:r>
    </w:p>
    <w:p w14:paraId="3C6364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1.6.4 承包人文件</w:t>
      </w:r>
    </w:p>
    <w:p w14:paraId="6E75E96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需要由承包人提供的文件，包括：</w:t>
      </w:r>
      <w:r>
        <w:rPr>
          <w:rFonts w:hint="eastAsia" w:asciiTheme="minorEastAsia" w:hAnsiTheme="minorEastAsia" w:eastAsiaTheme="minorEastAsia" w:cstheme="minorEastAsia"/>
          <w:sz w:val="24"/>
          <w:szCs w:val="24"/>
          <w:u w:val="single"/>
        </w:rPr>
        <w:t>                       ；</w:t>
      </w:r>
    </w:p>
    <w:p w14:paraId="436DC42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承包人提供的文件的期限为：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B20E4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承包人提供的文件的数量为：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72DB75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承包人提供的文件的形式为：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EB7948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发包人审批承包人文件的期限：</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6587A8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1.6.5 现场图纸准备</w:t>
      </w:r>
    </w:p>
    <w:p w14:paraId="2CA2166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关于现场图纸准备的约定：</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sz w:val="24"/>
          <w:szCs w:val="24"/>
        </w:rPr>
        <w:t>。</w:t>
      </w:r>
    </w:p>
    <w:p w14:paraId="6405A6F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联络</w:t>
      </w:r>
    </w:p>
    <w:p w14:paraId="62AC08C0">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1.7.1发包人和承包人应当在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天内将与合同有关的通知、批准、证明、证书、指示、指令、要求、请求、同意、意见、确定和决定等书面函件送达对方当事人。</w:t>
      </w:r>
    </w:p>
    <w:p w14:paraId="208FC72F">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1.7.2 发包人接收文件的地点：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6967002E">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发包人指定的接收人为：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5B2BFAE4">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承包人接收文件的地点：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0533BAB3">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承包人指定的接收人为：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06099A7E">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监理人接收文件的地点：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45319978">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监理人指定的接收人为：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kern w:val="0"/>
          <w:sz w:val="24"/>
          <w:szCs w:val="24"/>
        </w:rPr>
        <w:t>。</w:t>
      </w:r>
    </w:p>
    <w:p w14:paraId="357E64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交通运输</w:t>
      </w:r>
    </w:p>
    <w:p w14:paraId="167278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119" w:name="_Toc312677986"/>
      <w:bookmarkStart w:id="120" w:name="_Toc318581155"/>
      <w:bookmarkStart w:id="121" w:name="_Toc303539100"/>
      <w:bookmarkStart w:id="122" w:name="_Toc300934943"/>
      <w:bookmarkStart w:id="123" w:name="_Toc304295521"/>
      <w:r>
        <w:rPr>
          <w:rFonts w:hint="eastAsia" w:asciiTheme="minorEastAsia" w:hAnsiTheme="minorEastAsia" w:eastAsiaTheme="minorEastAsia" w:cstheme="minorEastAsia"/>
          <w:sz w:val="24"/>
          <w:szCs w:val="24"/>
        </w:rPr>
        <w:t>.10.1 出入现场的权利</w:t>
      </w:r>
    </w:p>
    <w:p w14:paraId="434C99EF">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关于出入现场的权利的约定：</w:t>
      </w:r>
      <w:r>
        <w:rPr>
          <w:rFonts w:hint="eastAsia" w:asciiTheme="minorEastAsia" w:hAnsiTheme="minorEastAsia" w:eastAsiaTheme="minorEastAsia" w:cstheme="minorEastAsia"/>
          <w:kern w:val="0"/>
          <w:sz w:val="24"/>
          <w:szCs w:val="24"/>
          <w:u w:val="single"/>
        </w:rPr>
        <w:t>    / </w:t>
      </w:r>
      <w:r>
        <w:rPr>
          <w:rFonts w:hint="eastAsia" w:asciiTheme="minorEastAsia" w:hAnsiTheme="minorEastAsia" w:eastAsiaTheme="minorEastAsia" w:cstheme="minorEastAsia"/>
          <w:kern w:val="0"/>
          <w:sz w:val="24"/>
          <w:szCs w:val="24"/>
        </w:rPr>
        <w:t>。</w:t>
      </w:r>
    </w:p>
    <w:bookmarkEnd w:id="119"/>
    <w:bookmarkEnd w:id="120"/>
    <w:bookmarkEnd w:id="121"/>
    <w:bookmarkEnd w:id="122"/>
    <w:bookmarkEnd w:id="123"/>
    <w:p w14:paraId="583D4DA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w:t>
      </w:r>
      <w:bookmarkStart w:id="124" w:name="_Toc300934944"/>
      <w:bookmarkStart w:id="125" w:name="_Toc304295522"/>
      <w:bookmarkStart w:id="126" w:name="_Toc312677987"/>
      <w:bookmarkStart w:id="127" w:name="_Toc318581156"/>
      <w:bookmarkStart w:id="128" w:name="_Toc303539101"/>
      <w:r>
        <w:rPr>
          <w:rFonts w:hint="eastAsia" w:asciiTheme="minorEastAsia" w:hAnsiTheme="minorEastAsia" w:eastAsiaTheme="minorEastAsia" w:cstheme="minorEastAsia"/>
          <w:kern w:val="0"/>
          <w:sz w:val="24"/>
          <w:szCs w:val="24"/>
        </w:rPr>
        <w:t>.10.3 场内</w:t>
      </w:r>
      <w:r>
        <w:rPr>
          <w:rFonts w:hint="eastAsia" w:asciiTheme="minorEastAsia" w:hAnsiTheme="minorEastAsia" w:eastAsiaTheme="minorEastAsia" w:cstheme="minorEastAsia"/>
          <w:sz w:val="24"/>
          <w:szCs w:val="24"/>
        </w:rPr>
        <w:t>交通</w:t>
      </w:r>
    </w:p>
    <w:p w14:paraId="586581FB">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rPr>
        <w:t>关于场外交通和场内交通的边界的约定：</w:t>
      </w:r>
      <w:r>
        <w:rPr>
          <w:rFonts w:hint="eastAsia" w:asciiTheme="minorEastAsia" w:hAnsiTheme="minorEastAsia" w:eastAsiaTheme="minorEastAsia" w:cstheme="minorEastAsia"/>
          <w:sz w:val="24"/>
          <w:szCs w:val="24"/>
          <w:u w:val="single"/>
        </w:rPr>
        <w:t xml:space="preserve">                             。</w:t>
      </w:r>
    </w:p>
    <w:p w14:paraId="0F8CC78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关于发包人向承包人免费提供满足工程施工需要的场内道路和交通设施的约定：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bookmarkEnd w:id="124"/>
      <w:bookmarkEnd w:id="125"/>
      <w:bookmarkEnd w:id="126"/>
      <w:bookmarkEnd w:id="127"/>
      <w:bookmarkEnd w:id="128"/>
      <w:r>
        <w:rPr>
          <w:rFonts w:hint="eastAsia" w:asciiTheme="minorEastAsia" w:hAnsiTheme="minorEastAsia" w:eastAsiaTheme="minorEastAsia" w:cstheme="minorEastAsia"/>
          <w:sz w:val="24"/>
          <w:szCs w:val="24"/>
        </w:rPr>
        <w:t xml:space="preserve">  </w:t>
      </w:r>
      <w:bookmarkStart w:id="129" w:name="_Toc318581157"/>
    </w:p>
    <w:p w14:paraId="12DA89C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1.10.4超大件和超重件的运输</w:t>
      </w:r>
    </w:p>
    <w:p w14:paraId="7D58FE7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运输超大件或超重件所需的道路和桥梁临时加固改造费用和其他有关费用由</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承担。</w:t>
      </w:r>
    </w:p>
    <w:bookmarkEnd w:id="129"/>
    <w:p w14:paraId="6E6A558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知识产权</w:t>
      </w:r>
    </w:p>
    <w:p w14:paraId="2809B4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372407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关于发包人提供的上述文件的使用限制的要求：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DE395F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1.11.2 关于承包人为实施工程所编制文件的著作权的归属：</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502A6F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关于承包人提供的上述文件的使用限制的要求：</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1502D249">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1.11.4 承包人在施工过程中所采用的专利、专有技术、技术秘密的使用费的承担方式：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7B4ECF4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1.13工程预算书错误的修正</w:t>
      </w:r>
    </w:p>
    <w:p w14:paraId="3FB4112E">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出现工程预算书错误时，是否调整合同价格：</w:t>
      </w:r>
      <w:r>
        <w:rPr>
          <w:rFonts w:hint="eastAsia" w:asciiTheme="minorEastAsia" w:hAnsiTheme="minorEastAsia" w:eastAsiaTheme="minorEastAsia" w:cstheme="minorEastAsia"/>
          <w:sz w:val="24"/>
          <w:szCs w:val="24"/>
          <w:u w:val="single"/>
        </w:rPr>
        <w:t xml:space="preserve">     /       。</w:t>
      </w:r>
    </w:p>
    <w:p w14:paraId="36A75B12">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允许调整合同价格的工程量偏差范围：</w:t>
      </w:r>
      <w:r>
        <w:rPr>
          <w:rFonts w:hint="eastAsia" w:asciiTheme="minorEastAsia" w:hAnsiTheme="minorEastAsia" w:eastAsiaTheme="minorEastAsia" w:cstheme="minorEastAsia"/>
          <w:sz w:val="24"/>
          <w:szCs w:val="24"/>
          <w:u w:val="single"/>
        </w:rPr>
        <w:t xml:space="preserve">  / 。</w:t>
      </w:r>
    </w:p>
    <w:p w14:paraId="3B42368E">
      <w:pPr>
        <w:spacing w:line="360" w:lineRule="auto"/>
        <w:ind w:firstLine="480" w:firstLineChars="200"/>
        <w:rPr>
          <w:rFonts w:asciiTheme="minorEastAsia" w:hAnsiTheme="minorEastAsia" w:eastAsiaTheme="minorEastAsia" w:cstheme="minorEastAsia"/>
          <w:sz w:val="24"/>
          <w:szCs w:val="24"/>
        </w:rPr>
      </w:pPr>
      <w:bookmarkStart w:id="130" w:name="_Toc32148"/>
      <w:bookmarkStart w:id="131" w:name="_Toc4425"/>
      <w:bookmarkStart w:id="132" w:name="_Toc351203634"/>
      <w:bookmarkStart w:id="133" w:name="_Toc21141"/>
      <w:bookmarkStart w:id="134" w:name="_Toc30701"/>
      <w:r>
        <w:rPr>
          <w:rFonts w:hint="eastAsia" w:asciiTheme="minorEastAsia" w:hAnsiTheme="minorEastAsia" w:eastAsiaTheme="minorEastAsia" w:cstheme="minorEastAsia"/>
          <w:sz w:val="24"/>
          <w:szCs w:val="24"/>
        </w:rPr>
        <w:t>2</w:t>
      </w:r>
      <w:bookmarkStart w:id="135" w:name="_Toc296347156"/>
      <w:bookmarkStart w:id="136" w:name="_Toc296891197"/>
      <w:bookmarkStart w:id="137" w:name="_Toc296503157"/>
      <w:bookmarkStart w:id="138" w:name="_Toc292559867"/>
      <w:bookmarkStart w:id="139" w:name="_Toc292559362"/>
      <w:bookmarkStart w:id="140" w:name="_Toc297120457"/>
      <w:bookmarkStart w:id="141" w:name="_Toc296944496"/>
      <w:bookmarkStart w:id="142" w:name="_Toc297048343"/>
      <w:bookmarkStart w:id="143" w:name="_Toc296346658"/>
      <w:bookmarkStart w:id="144" w:name="_Toc296890985"/>
      <w:r>
        <w:rPr>
          <w:rFonts w:hint="eastAsia" w:asciiTheme="minorEastAsia" w:hAnsiTheme="minorEastAsia" w:eastAsiaTheme="minorEastAsia" w:cstheme="minorEastAsia"/>
          <w:sz w:val="24"/>
          <w:szCs w:val="24"/>
        </w:rPr>
        <w:t>. 发包人</w:t>
      </w:r>
      <w:bookmarkEnd w:id="130"/>
      <w:bookmarkEnd w:id="131"/>
      <w:bookmarkEnd w:id="132"/>
      <w:bookmarkEnd w:id="133"/>
      <w:bookmarkEnd w:id="134"/>
    </w:p>
    <w:bookmarkEnd w:id="135"/>
    <w:bookmarkEnd w:id="136"/>
    <w:bookmarkEnd w:id="137"/>
    <w:bookmarkEnd w:id="138"/>
    <w:bookmarkEnd w:id="139"/>
    <w:bookmarkEnd w:id="140"/>
    <w:bookmarkEnd w:id="141"/>
    <w:bookmarkEnd w:id="142"/>
    <w:bookmarkEnd w:id="143"/>
    <w:bookmarkEnd w:id="144"/>
    <w:p w14:paraId="252D80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发包人代表</w:t>
      </w:r>
    </w:p>
    <w:p w14:paraId="5C1470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发包人代表：</w:t>
      </w:r>
    </w:p>
    <w:p w14:paraId="142A19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155FC81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4E2280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0E8C8FB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10DD1BC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6DE7D6A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5F4EEC28">
      <w:pPr>
        <w:spacing w:line="360" w:lineRule="auto"/>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发包人对发包人代表的授权范围如下：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E99BC4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施工现场、施工条件和基础资料的提供</w:t>
      </w:r>
      <w:r>
        <w:rPr>
          <w:rFonts w:hint="eastAsia" w:asciiTheme="minorEastAsia" w:hAnsiTheme="minorEastAsia" w:eastAsiaTheme="minorEastAsia" w:cstheme="minorEastAsia"/>
          <w:sz w:val="24"/>
          <w:szCs w:val="24"/>
          <w:u w:val="single"/>
        </w:rPr>
        <w:t>                 。</w:t>
      </w:r>
    </w:p>
    <w:p w14:paraId="6B6FE82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 提供施工现场</w:t>
      </w:r>
    </w:p>
    <w:p w14:paraId="7511A15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关于发包人移交施工现场的期限要求：</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D504DC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 提供施工条件</w:t>
      </w:r>
    </w:p>
    <w:p w14:paraId="5FEE68BC">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关于发包人应负责提供施工所需要的条件，包括：</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 xml:space="preserve">。 </w:t>
      </w:r>
    </w:p>
    <w:p w14:paraId="01F593A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资金来源证明及支付担保</w:t>
      </w:r>
    </w:p>
    <w:p w14:paraId="6C8E14F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发包人提供资金来源证明的期限要求：</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20E344B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发包人是否提供支付担保：</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DA2D8D6">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发包人提供支付担保的形式：</w:t>
      </w:r>
      <w:r>
        <w:rPr>
          <w:rFonts w:hint="eastAsia" w:asciiTheme="minorEastAsia" w:hAnsiTheme="minorEastAsia" w:eastAsiaTheme="minorEastAsia" w:cstheme="minorEastAsia"/>
          <w:sz w:val="24"/>
          <w:szCs w:val="24"/>
          <w:u w:val="single"/>
        </w:rPr>
        <w:t xml:space="preserve">双方另行协商确定 </w:t>
      </w:r>
      <w:r>
        <w:rPr>
          <w:rFonts w:hint="eastAsia" w:asciiTheme="minorEastAsia" w:hAnsiTheme="minorEastAsia" w:eastAsiaTheme="minorEastAsia" w:cstheme="minorEastAsia"/>
          <w:sz w:val="24"/>
          <w:szCs w:val="24"/>
        </w:rPr>
        <w:t>。</w:t>
      </w:r>
    </w:p>
    <w:p w14:paraId="32B3CB60">
      <w:pPr>
        <w:spacing w:line="360" w:lineRule="auto"/>
        <w:ind w:firstLine="480" w:firstLineChars="200"/>
        <w:rPr>
          <w:rFonts w:asciiTheme="minorEastAsia" w:hAnsiTheme="minorEastAsia" w:eastAsiaTheme="minorEastAsia" w:cstheme="minorEastAsia"/>
          <w:sz w:val="24"/>
          <w:szCs w:val="24"/>
        </w:rPr>
      </w:pPr>
      <w:bookmarkStart w:id="145" w:name="_Toc30343"/>
      <w:bookmarkStart w:id="146" w:name="_Toc1251"/>
      <w:bookmarkStart w:id="147" w:name="_Toc20523"/>
      <w:bookmarkStart w:id="148" w:name="_Toc10899"/>
      <w:bookmarkStart w:id="149" w:name="_Toc351203635"/>
      <w:r>
        <w:rPr>
          <w:rFonts w:hint="eastAsia" w:asciiTheme="minorEastAsia" w:hAnsiTheme="minorEastAsia" w:eastAsiaTheme="minorEastAsia" w:cstheme="minorEastAsia"/>
          <w:sz w:val="24"/>
          <w:szCs w:val="24"/>
        </w:rPr>
        <w:t>3</w:t>
      </w:r>
      <w:bookmarkStart w:id="150" w:name="_Toc297120458"/>
      <w:bookmarkStart w:id="151" w:name="_Toc296891198"/>
      <w:bookmarkStart w:id="152" w:name="_Toc296346659"/>
      <w:bookmarkStart w:id="153" w:name="_Toc296890986"/>
      <w:bookmarkStart w:id="154" w:name="_Toc292559868"/>
      <w:bookmarkStart w:id="155" w:name="_Toc297048344"/>
      <w:bookmarkStart w:id="156" w:name="_Toc296944497"/>
      <w:bookmarkStart w:id="157" w:name="_Toc296347157"/>
      <w:bookmarkStart w:id="158" w:name="_Toc292559363"/>
      <w:bookmarkStart w:id="159" w:name="_Toc296503158"/>
      <w:r>
        <w:rPr>
          <w:rFonts w:hint="eastAsia" w:asciiTheme="minorEastAsia" w:hAnsiTheme="minorEastAsia" w:eastAsiaTheme="minorEastAsia" w:cstheme="minorEastAsia"/>
          <w:sz w:val="24"/>
          <w:szCs w:val="24"/>
        </w:rPr>
        <w:t>. 承包人</w:t>
      </w:r>
      <w:bookmarkEnd w:id="145"/>
      <w:bookmarkEnd w:id="146"/>
      <w:bookmarkEnd w:id="147"/>
      <w:bookmarkEnd w:id="148"/>
      <w:bookmarkEnd w:id="149"/>
    </w:p>
    <w:bookmarkEnd w:id="150"/>
    <w:bookmarkEnd w:id="151"/>
    <w:bookmarkEnd w:id="152"/>
    <w:bookmarkEnd w:id="153"/>
    <w:bookmarkEnd w:id="154"/>
    <w:bookmarkEnd w:id="155"/>
    <w:bookmarkEnd w:id="156"/>
    <w:bookmarkEnd w:id="157"/>
    <w:bookmarkEnd w:id="158"/>
    <w:bookmarkEnd w:id="159"/>
    <w:p w14:paraId="4C83612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承包人的一般义务</w:t>
      </w:r>
    </w:p>
    <w:p w14:paraId="7CBDCE9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sz w:val="24"/>
          <w:szCs w:val="24"/>
        </w:rPr>
        <w:t>承包人提交的竣工资料的内容：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236090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承包人需要提交的竣工资料套数：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07F194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承包人提交的竣工资料的费用承担：</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34E776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承包人提交的竣工资料移交时间：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553068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承包人提交的竣工资料形式要求：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3907C2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（6）承包人应履行的其他义务：</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45E85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项目经理</w:t>
      </w:r>
    </w:p>
    <w:p w14:paraId="307B042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3.2.1 </w:t>
      </w:r>
      <w:r>
        <w:rPr>
          <w:rFonts w:hint="eastAsia" w:asciiTheme="minorEastAsia" w:hAnsiTheme="minorEastAsia" w:eastAsiaTheme="minorEastAsia" w:cstheme="minorEastAsia"/>
          <w:sz w:val="24"/>
          <w:szCs w:val="24"/>
        </w:rPr>
        <w:t>项目经理：</w:t>
      </w:r>
    </w:p>
    <w:p w14:paraId="67E4CD6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53ABC56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0EBDEA9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建造师执业资格等级：</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1D0F4B7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86887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建造师执业印章号：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C5A9CD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安全生产考核合格证书号：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C3CDE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46A8877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 </w:t>
      </w:r>
      <w:r>
        <w:rPr>
          <w:rFonts w:hint="eastAsia" w:asciiTheme="minorEastAsia" w:hAnsiTheme="minorEastAsia" w:eastAsiaTheme="minorEastAsia" w:cstheme="minorEastAsia"/>
          <w:sz w:val="24"/>
          <w:szCs w:val="24"/>
        </w:rPr>
        <w:t>；</w:t>
      </w:r>
    </w:p>
    <w:p w14:paraId="50AD252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single"/>
        </w:rPr>
        <w:t xml:space="preserve">                               </w:t>
      </w:r>
      <w:r>
        <w:rPr>
          <w:rFonts w:hint="eastAsia" w:asciiTheme="minorEastAsia" w:hAnsiTheme="minorEastAsia" w:eastAsiaTheme="minorEastAsia" w:cstheme="minorEastAsia"/>
          <w:sz w:val="24"/>
          <w:szCs w:val="24"/>
        </w:rPr>
        <w:t>；</w:t>
      </w:r>
    </w:p>
    <w:p w14:paraId="092863C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承包人对项目经理的授权范围如下：</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FCE301E">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关于项目经理每月在施工现场的时间要求：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97ABBBD">
      <w:pPr>
        <w:spacing w:line="360" w:lineRule="auto"/>
        <w:ind w:left="3119" w:leftChars="228" w:hanging="2640" w:hangingChars="11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承包人未提交劳动合同，以及没有为项目经理缴纳社会保险证明的违约责任：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7A363DA">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rPr>
        <w:t>项目经理未经批准，擅自离开施工现场的违约责任：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A48631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承包人擅自更换项目经理的违约责任：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89A9D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承包人无正当理由拒绝更换项目经理的违约责任：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12F813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承包人人员</w:t>
      </w:r>
    </w:p>
    <w:p w14:paraId="1BFA2AD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承包人提交项目管理机构及施工现场管理人员安排报告的期限：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933206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承包人无正当理由拒绝撤换主要施工管理人员的违约责任：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BF11EB9">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3.3.4 承包人主要施工管理人员离开施工现场的批准要求：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BE619A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3.3.5承包人擅自更换主要施工管理人员的违约责任：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E1AF9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承包人主要施工管理人员擅自离开施工现场的违约责任：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F12AF2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bookmarkStart w:id="160" w:name="_Toc297216151"/>
      <w:bookmarkStart w:id="161" w:name="_Toc296503159"/>
      <w:bookmarkStart w:id="162" w:name="_Toc292559869"/>
      <w:bookmarkStart w:id="163" w:name="_Toc300934945"/>
      <w:bookmarkStart w:id="164" w:name="_Toc304295523"/>
      <w:bookmarkStart w:id="165" w:name="_Toc297120459"/>
      <w:bookmarkStart w:id="166" w:name="_Toc297048345"/>
      <w:bookmarkStart w:id="167" w:name="_Toc296944498"/>
      <w:bookmarkStart w:id="168" w:name="_Toc312677988"/>
      <w:bookmarkStart w:id="169" w:name="_Toc292559364"/>
      <w:bookmarkStart w:id="170" w:name="_Toc296890987"/>
      <w:bookmarkStart w:id="171" w:name="_Toc296347158"/>
      <w:bookmarkStart w:id="172" w:name="_Toc296891199"/>
      <w:bookmarkStart w:id="173" w:name="_Toc303539102"/>
      <w:bookmarkStart w:id="174" w:name="_Toc297123492"/>
      <w:bookmarkStart w:id="175" w:name="_Toc296346660"/>
      <w:r>
        <w:rPr>
          <w:rFonts w:hint="eastAsia" w:asciiTheme="minorEastAsia" w:hAnsiTheme="minorEastAsia" w:eastAsiaTheme="minorEastAsia" w:cstheme="minorEastAsia"/>
          <w:sz w:val="24"/>
          <w:szCs w:val="24"/>
        </w:rPr>
        <w:t>.5 分包</w:t>
      </w:r>
    </w:p>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14:paraId="5531FFD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bookmarkStart w:id="176" w:name="_Toc296890988"/>
      <w:bookmarkStart w:id="177" w:name="_Toc296346661"/>
      <w:bookmarkStart w:id="178" w:name="_Toc297123493"/>
      <w:bookmarkStart w:id="179" w:name="_Toc297216152"/>
      <w:bookmarkStart w:id="180" w:name="_Toc296503160"/>
      <w:bookmarkStart w:id="181" w:name="_Toc297120460"/>
      <w:bookmarkStart w:id="182" w:name="_Toc292559365"/>
      <w:bookmarkStart w:id="183" w:name="_Toc300934946"/>
      <w:bookmarkStart w:id="184" w:name="_Toc304295524"/>
      <w:bookmarkStart w:id="185" w:name="_Toc296891200"/>
      <w:bookmarkStart w:id="186" w:name="_Toc296944499"/>
      <w:bookmarkStart w:id="187" w:name="_Toc292559870"/>
      <w:bookmarkStart w:id="188" w:name="_Toc297048346"/>
      <w:bookmarkStart w:id="189" w:name="_Toc303539103"/>
      <w:bookmarkStart w:id="190" w:name="_Toc296347159"/>
      <w:bookmarkStart w:id="191" w:name="_Toc312677989"/>
      <w:bookmarkStart w:id="192" w:name="_Toc318581158"/>
      <w:r>
        <w:rPr>
          <w:rFonts w:hint="eastAsia" w:asciiTheme="minorEastAsia" w:hAnsiTheme="minorEastAsia" w:eastAsiaTheme="minorEastAsia" w:cstheme="minorEastAsia"/>
          <w:sz w:val="24"/>
          <w:szCs w:val="24"/>
        </w:rPr>
        <w:t>.5.1 分包的一般约定</w:t>
      </w:r>
    </w:p>
    <w:p w14:paraId="505925B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禁止分包的工程包括：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649E7F8">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主体结构、关键性工作的范围：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Start w:id="193" w:name="_Toc300934947"/>
      <w:bookmarkStart w:id="194" w:name="_Toc297216153"/>
      <w:bookmarkStart w:id="195" w:name="_Toc304295525"/>
      <w:bookmarkStart w:id="196" w:name="_Toc297123494"/>
      <w:bookmarkStart w:id="197" w:name="_Toc296890989"/>
      <w:bookmarkStart w:id="198" w:name="_Toc296347160"/>
      <w:bookmarkStart w:id="199" w:name="_Toc303539104"/>
      <w:bookmarkStart w:id="200" w:name="_Toc297048347"/>
      <w:bookmarkStart w:id="201" w:name="_Toc296503161"/>
      <w:bookmarkStart w:id="202" w:name="_Toc296944500"/>
      <w:bookmarkStart w:id="203" w:name="_Toc296346662"/>
      <w:bookmarkStart w:id="204" w:name="_Toc297120461"/>
      <w:bookmarkStart w:id="205" w:name="_Toc296891201"/>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73D9A58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bookmarkStart w:id="206" w:name="_Toc318581159"/>
      <w:bookmarkStart w:id="207" w:name="_Toc312677990"/>
      <w:r>
        <w:rPr>
          <w:rFonts w:hint="eastAsia" w:asciiTheme="minorEastAsia" w:hAnsiTheme="minorEastAsia" w:eastAsiaTheme="minorEastAsia" w:cstheme="minorEastAsia"/>
          <w:sz w:val="24"/>
          <w:szCs w:val="24"/>
        </w:rPr>
        <w:t>.5.2分包的确定</w:t>
      </w:r>
    </w:p>
    <w:p w14:paraId="393B1122">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允许分包的专业工程包括：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CC5576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其他关于分包的约定：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9A62BD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3.5.4 分包合同价款</w:t>
      </w:r>
    </w:p>
    <w:p w14:paraId="14A3F94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关于分包合同价款支付的约定：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bookmarkEnd w:id="206"/>
    <w:bookmarkEnd w:id="207"/>
    <w:p w14:paraId="12DE69D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 工程照管与成品、半成品保护</w:t>
      </w:r>
    </w:p>
    <w:p w14:paraId="7E4C7D9C">
      <w:pPr>
        <w:spacing w:line="360" w:lineRule="auto"/>
        <w:ind w:firstLine="480" w:firstLineChars="200"/>
        <w:rPr>
          <w:rFonts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承包人负责照管工程及工程相关的材料、工程设备的起始时间：</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5439725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 履约担保</w:t>
      </w:r>
    </w:p>
    <w:p w14:paraId="7DA9A8A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承包人是否提供履约担保：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FCBD45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承包人提供履约担保的形式、金额及期限的：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19C92E31">
      <w:pPr>
        <w:spacing w:line="360" w:lineRule="auto"/>
        <w:ind w:firstLine="480" w:firstLineChars="200"/>
        <w:rPr>
          <w:rFonts w:asciiTheme="minorEastAsia" w:hAnsiTheme="minorEastAsia" w:eastAsiaTheme="minorEastAsia" w:cstheme="minorEastAsia"/>
          <w:sz w:val="24"/>
          <w:szCs w:val="24"/>
        </w:rPr>
      </w:pPr>
      <w:bookmarkStart w:id="208" w:name="_Toc351203636"/>
      <w:bookmarkStart w:id="209" w:name="_Toc679"/>
      <w:bookmarkStart w:id="210" w:name="_Toc2462"/>
      <w:bookmarkStart w:id="211" w:name="_Toc11294"/>
      <w:bookmarkStart w:id="212" w:name="_Toc4027"/>
      <w:r>
        <w:rPr>
          <w:rFonts w:hint="eastAsia" w:asciiTheme="minorEastAsia" w:hAnsiTheme="minorEastAsia" w:eastAsiaTheme="minorEastAsia" w:cstheme="minorEastAsia"/>
          <w:sz w:val="24"/>
          <w:szCs w:val="24"/>
        </w:rPr>
        <w:t>4</w:t>
      </w:r>
      <w:bookmarkStart w:id="213" w:name="_Toc296347161"/>
      <w:bookmarkStart w:id="214" w:name="_Toc296944501"/>
      <w:bookmarkStart w:id="215" w:name="_Toc296891202"/>
      <w:bookmarkStart w:id="216" w:name="_Toc297120462"/>
      <w:bookmarkStart w:id="217" w:name="_Toc267251413"/>
      <w:bookmarkStart w:id="218" w:name="_Toc292559366"/>
      <w:bookmarkStart w:id="219" w:name="_Toc297048348"/>
      <w:bookmarkStart w:id="220" w:name="_Toc292559871"/>
      <w:bookmarkStart w:id="221" w:name="_Toc296890990"/>
      <w:bookmarkStart w:id="222" w:name="_Toc296503162"/>
      <w:bookmarkStart w:id="223" w:name="_Toc296346663"/>
      <w:r>
        <w:rPr>
          <w:rFonts w:hint="eastAsia" w:asciiTheme="minorEastAsia" w:hAnsiTheme="minorEastAsia" w:eastAsiaTheme="minorEastAsia" w:cstheme="minorEastAsia"/>
          <w:sz w:val="24"/>
          <w:szCs w:val="24"/>
        </w:rPr>
        <w:t>. 监</w:t>
      </w:r>
      <w:bookmarkEnd w:id="213"/>
      <w:bookmarkEnd w:id="214"/>
      <w:bookmarkEnd w:id="215"/>
      <w:bookmarkEnd w:id="216"/>
      <w:bookmarkEnd w:id="217"/>
      <w:bookmarkEnd w:id="218"/>
      <w:bookmarkEnd w:id="219"/>
      <w:bookmarkEnd w:id="220"/>
      <w:bookmarkEnd w:id="221"/>
      <w:bookmarkEnd w:id="222"/>
      <w:bookmarkEnd w:id="223"/>
      <w:r>
        <w:rPr>
          <w:rFonts w:hint="eastAsia" w:asciiTheme="minorEastAsia" w:hAnsiTheme="minorEastAsia" w:eastAsiaTheme="minorEastAsia" w:cstheme="minorEastAsia"/>
          <w:sz w:val="24"/>
          <w:szCs w:val="24"/>
        </w:rPr>
        <w:t>理人</w:t>
      </w:r>
      <w:bookmarkEnd w:id="208"/>
      <w:bookmarkEnd w:id="209"/>
      <w:bookmarkEnd w:id="210"/>
      <w:bookmarkEnd w:id="211"/>
      <w:bookmarkEnd w:id="212"/>
    </w:p>
    <w:p w14:paraId="0687ADB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4.1监理人的一般规定</w:t>
      </w:r>
    </w:p>
    <w:p w14:paraId="67CB2CE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关于监理人的监理内容：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C66FFD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关于监理人的监理权限：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CA8D42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关于监理人在施工现场的办公场所、生活场所的提供和费用承担的约定：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344C4F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监理人员</w:t>
      </w:r>
    </w:p>
    <w:p w14:paraId="4D6BA47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总监理工程师：</w:t>
      </w:r>
    </w:p>
    <w:p w14:paraId="073CC57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6B3707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490163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监理工程师执业资格证书号：</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w:t>
      </w:r>
    </w:p>
    <w:p w14:paraId="413FADB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D9FA2C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A962E4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0497D2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关于监理人的其他约定：</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14:paraId="41205F8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商定或确定</w:t>
      </w:r>
    </w:p>
    <w:p w14:paraId="04754972">
      <w:pPr>
        <w:spacing w:line="360" w:lineRule="auto"/>
        <w:ind w:firstLine="480" w:firstLineChars="200"/>
        <w:rPr>
          <w:rFonts w:asciiTheme="minorEastAsia" w:hAnsiTheme="minorEastAsia" w:eastAsiaTheme="minorEastAsia" w:cstheme="minorEastAsia"/>
          <w:sz w:val="24"/>
          <w:szCs w:val="24"/>
        </w:rPr>
      </w:pPr>
      <w:bookmarkStart w:id="224" w:name="_Toc267251418"/>
      <w:r>
        <w:rPr>
          <w:rFonts w:hint="eastAsia" w:asciiTheme="minorEastAsia" w:hAnsiTheme="minorEastAsia" w:eastAsiaTheme="minorEastAsia" w:cstheme="minorEastAsia"/>
          <w:sz w:val="24"/>
          <w:szCs w:val="24"/>
        </w:rPr>
        <w:t>在发包人和承包人不能通过协商达成一致意见时，发包人授权监理人对以下事项进行确定：</w:t>
      </w:r>
    </w:p>
    <w:p w14:paraId="4EE3C8AE">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63CEB19">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27A17DA">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7F660D3">
      <w:pPr>
        <w:spacing w:line="360" w:lineRule="auto"/>
        <w:ind w:firstLine="480" w:firstLineChars="200"/>
        <w:rPr>
          <w:rFonts w:asciiTheme="minorEastAsia" w:hAnsiTheme="minorEastAsia" w:eastAsiaTheme="minorEastAsia" w:cstheme="minorEastAsia"/>
          <w:sz w:val="24"/>
          <w:szCs w:val="24"/>
        </w:rPr>
      </w:pPr>
      <w:bookmarkStart w:id="225" w:name="_Toc28105"/>
      <w:bookmarkStart w:id="226" w:name="_Toc351203637"/>
      <w:bookmarkStart w:id="227" w:name="_Toc32289"/>
      <w:bookmarkStart w:id="228" w:name="_Toc23352"/>
      <w:bookmarkStart w:id="229" w:name="_Toc23156"/>
      <w:r>
        <w:rPr>
          <w:rFonts w:hint="eastAsia" w:asciiTheme="minorEastAsia" w:hAnsiTheme="minorEastAsia" w:eastAsiaTheme="minorEastAsia" w:cstheme="minorEastAsia"/>
          <w:sz w:val="24"/>
          <w:szCs w:val="24"/>
        </w:rPr>
        <w:t>5</w:t>
      </w:r>
      <w:bookmarkEnd w:id="224"/>
      <w:bookmarkStart w:id="230" w:name="_Toc296891203"/>
      <w:bookmarkStart w:id="231" w:name="_Toc297120463"/>
      <w:bookmarkStart w:id="232" w:name="_Toc297048349"/>
      <w:bookmarkStart w:id="233" w:name="_Toc296346664"/>
      <w:bookmarkStart w:id="234" w:name="_Toc292559872"/>
      <w:bookmarkStart w:id="235" w:name="_Toc296944502"/>
      <w:bookmarkStart w:id="236" w:name="_Toc296890991"/>
      <w:bookmarkStart w:id="237" w:name="_Toc292559367"/>
      <w:bookmarkStart w:id="238" w:name="_Toc296503163"/>
      <w:bookmarkStart w:id="239" w:name="_Toc296347162"/>
      <w:r>
        <w:rPr>
          <w:rFonts w:hint="eastAsia" w:asciiTheme="minorEastAsia" w:hAnsiTheme="minorEastAsia" w:eastAsiaTheme="minorEastAsia" w:cstheme="minorEastAsia"/>
          <w:sz w:val="24"/>
          <w:szCs w:val="24"/>
        </w:rPr>
        <w:t>. 工程质量</w:t>
      </w:r>
      <w:bookmarkEnd w:id="225"/>
      <w:bookmarkEnd w:id="226"/>
      <w:bookmarkEnd w:id="227"/>
      <w:bookmarkEnd w:id="228"/>
      <w:bookmarkEnd w:id="229"/>
    </w:p>
    <w:p w14:paraId="6612F37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质量要求</w:t>
      </w:r>
    </w:p>
    <w:p w14:paraId="147CEA6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bookmarkStart w:id="240" w:name="_Toc303539106"/>
      <w:bookmarkStart w:id="241" w:name="_Toc318581164"/>
      <w:bookmarkStart w:id="242" w:name="_Toc312677997"/>
      <w:bookmarkStart w:id="243" w:name="_Toc297123496"/>
      <w:bookmarkStart w:id="244" w:name="_Toc297216155"/>
      <w:bookmarkStart w:id="245" w:name="_Toc300934949"/>
      <w:bookmarkStart w:id="246" w:name="_Toc304295527"/>
      <w:r>
        <w:rPr>
          <w:rFonts w:hint="eastAsia" w:asciiTheme="minorEastAsia" w:hAnsiTheme="minorEastAsia" w:eastAsiaTheme="minorEastAsia" w:cstheme="minorEastAsia"/>
          <w:sz w:val="24"/>
          <w:szCs w:val="24"/>
        </w:rPr>
        <w:t>.1.1 特殊质量标准和要求：</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A20CEB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关于工程奖项的约定：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380548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隐蔽工程检查</w:t>
      </w:r>
    </w:p>
    <w:p w14:paraId="5AC76B8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5.3.2承包人提前通知监理人隐蔽工程检查的期限的约定：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16963E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监理人不能按时进行检查时，应提前</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小时提交书面延期要求。</w:t>
      </w:r>
    </w:p>
    <w:p w14:paraId="668CC588">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关于延期最长不得超过：</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小时。</w:t>
      </w:r>
    </w:p>
    <w:p w14:paraId="1890462F">
      <w:pPr>
        <w:spacing w:line="360" w:lineRule="auto"/>
        <w:ind w:firstLine="480" w:firstLineChars="200"/>
        <w:rPr>
          <w:rFonts w:asciiTheme="minorEastAsia" w:hAnsiTheme="minorEastAsia" w:eastAsiaTheme="minorEastAsia" w:cstheme="minorEastAsia"/>
          <w:sz w:val="24"/>
          <w:szCs w:val="24"/>
        </w:rPr>
      </w:pPr>
      <w:bookmarkStart w:id="247" w:name="_Toc23005"/>
      <w:bookmarkStart w:id="248" w:name="_Toc17062"/>
      <w:bookmarkStart w:id="249" w:name="_Toc351203638"/>
      <w:bookmarkStart w:id="250" w:name="_Toc4303"/>
      <w:bookmarkStart w:id="251" w:name="_Toc27722"/>
      <w:r>
        <w:rPr>
          <w:rFonts w:hint="eastAsia" w:asciiTheme="minorEastAsia" w:hAnsiTheme="minorEastAsia" w:eastAsiaTheme="minorEastAsia" w:cstheme="minorEastAsia"/>
          <w:sz w:val="24"/>
          <w:szCs w:val="24"/>
        </w:rPr>
        <w:t>6. 安全文明施工与环境保护</w:t>
      </w:r>
      <w:bookmarkEnd w:id="247"/>
      <w:bookmarkEnd w:id="248"/>
      <w:bookmarkEnd w:id="249"/>
      <w:bookmarkEnd w:id="250"/>
      <w:bookmarkEnd w:id="251"/>
    </w:p>
    <w:p w14:paraId="3B40AA0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6.1安全文明施工</w:t>
      </w:r>
    </w:p>
    <w:p w14:paraId="21B2D544">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6.1.1 项目安全生产的达标目标及相应事项的约定：</w:t>
      </w:r>
      <w:r>
        <w:rPr>
          <w:rFonts w:hint="eastAsia" w:asciiTheme="minorEastAsia" w:hAnsiTheme="minorEastAsia" w:eastAsiaTheme="minorEastAsia" w:cstheme="minorEastAsia"/>
          <w:sz w:val="24"/>
          <w:szCs w:val="24"/>
          <w:u w:val="single"/>
        </w:rPr>
        <w:t xml:space="preserve">              。</w:t>
      </w:r>
    </w:p>
    <w:p w14:paraId="1C20C47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 关于治安保卫的特别约定：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38B2CF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关于编制施工场地治安管理计划的约定：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83534A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 文明施工</w:t>
      </w:r>
    </w:p>
    <w:p w14:paraId="2513190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合同当事人对文明施工的要求：</w:t>
      </w:r>
      <w:r>
        <w:rPr>
          <w:rFonts w:hint="eastAsia" w:asciiTheme="minorEastAsia" w:hAnsiTheme="minorEastAsia" w:eastAsiaTheme="minorEastAsia" w:cstheme="minorEastAsia"/>
          <w:sz w:val="24"/>
          <w:szCs w:val="24"/>
          <w:u w:val="single"/>
        </w:rPr>
        <w:t xml:space="preserve">                                。</w:t>
      </w:r>
    </w:p>
    <w:p w14:paraId="70E809E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6.1.6 关于安全文明施工费支付比例和支付期限的约定：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240"/>
    <w:bookmarkEnd w:id="241"/>
    <w:bookmarkEnd w:id="242"/>
    <w:bookmarkEnd w:id="243"/>
    <w:bookmarkEnd w:id="244"/>
    <w:bookmarkEnd w:id="245"/>
    <w:bookmarkEnd w:id="246"/>
    <w:p w14:paraId="040F54FD">
      <w:pPr>
        <w:spacing w:line="360" w:lineRule="auto"/>
        <w:ind w:firstLine="480" w:firstLineChars="200"/>
        <w:rPr>
          <w:rFonts w:asciiTheme="minorEastAsia" w:hAnsiTheme="minorEastAsia" w:eastAsiaTheme="minorEastAsia" w:cstheme="minorEastAsia"/>
          <w:sz w:val="24"/>
          <w:szCs w:val="24"/>
        </w:rPr>
      </w:pPr>
      <w:bookmarkStart w:id="252" w:name="_Toc28975"/>
      <w:bookmarkStart w:id="253" w:name="_Toc23962"/>
      <w:bookmarkStart w:id="254" w:name="_Toc23742"/>
      <w:bookmarkStart w:id="255" w:name="_Toc351203639"/>
      <w:bookmarkStart w:id="256" w:name="_Toc30373"/>
      <w:r>
        <w:rPr>
          <w:rFonts w:hint="eastAsia" w:asciiTheme="minorEastAsia" w:hAnsiTheme="minorEastAsia" w:eastAsiaTheme="minorEastAsia" w:cstheme="minorEastAsia"/>
          <w:sz w:val="24"/>
          <w:szCs w:val="24"/>
        </w:rPr>
        <w:t>7. 工期和进度</w:t>
      </w:r>
      <w:bookmarkEnd w:id="252"/>
      <w:bookmarkEnd w:id="253"/>
      <w:bookmarkEnd w:id="254"/>
      <w:bookmarkEnd w:id="255"/>
      <w:bookmarkEnd w:id="256"/>
    </w:p>
    <w:p w14:paraId="190836D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施工组织设计</w:t>
      </w:r>
    </w:p>
    <w:p w14:paraId="6B2D7C56">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7.1.1 合</w:t>
      </w:r>
      <w:r>
        <w:rPr>
          <w:rFonts w:hint="eastAsia" w:asciiTheme="minorEastAsia" w:hAnsiTheme="minorEastAsia" w:eastAsiaTheme="minorEastAsia" w:cstheme="minorEastAsia"/>
          <w:kern w:val="0"/>
          <w:sz w:val="24"/>
          <w:szCs w:val="24"/>
        </w:rPr>
        <w:t>同当事人约定的施工组织设计应包括的其他内容：</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D98B227">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7.1.2 </w:t>
      </w:r>
      <w:r>
        <w:rPr>
          <w:rFonts w:hint="eastAsia" w:asciiTheme="minorEastAsia" w:hAnsiTheme="minorEastAsia" w:eastAsiaTheme="minorEastAsia" w:cstheme="minorEastAsia"/>
          <w:kern w:val="0"/>
          <w:sz w:val="24"/>
          <w:szCs w:val="24"/>
        </w:rPr>
        <w:t>施工组织设计的提交和修改</w:t>
      </w:r>
    </w:p>
    <w:p w14:paraId="350563EB">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承包人提交详细施工组织设计的期限的约定：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004CEB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发包人和监理人在收到详细的施工组织设计后确认或提出修改意见的期限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EB247C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bookmarkStart w:id="257" w:name="_Toc300934966"/>
      <w:bookmarkStart w:id="258" w:name="_Toc304295541"/>
      <w:bookmarkStart w:id="259" w:name="_Toc297216173"/>
      <w:bookmarkStart w:id="260" w:name="_Toc297123514"/>
      <w:bookmarkStart w:id="261" w:name="_Toc312677479"/>
      <w:bookmarkStart w:id="262" w:name="_Toc312678005"/>
      <w:bookmarkStart w:id="263" w:name="_Toc303539123"/>
      <w:r>
        <w:rPr>
          <w:rFonts w:hint="eastAsia" w:asciiTheme="minorEastAsia" w:hAnsiTheme="minorEastAsia" w:eastAsiaTheme="minorEastAsia" w:cstheme="minorEastAsia"/>
          <w:sz w:val="24"/>
          <w:szCs w:val="24"/>
        </w:rPr>
        <w:t>.2 施工进度计划</w:t>
      </w:r>
    </w:p>
    <w:p w14:paraId="276DC9B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7.2.2 施工进度计划的修订</w:t>
      </w:r>
    </w:p>
    <w:p w14:paraId="163DAE8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发包人和监理人在收到修订的施工进度计划后确认或提出修改意见的期限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B8CC1E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开工</w:t>
      </w:r>
    </w:p>
    <w:p w14:paraId="09C177B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7.3.1 开工准备</w:t>
      </w:r>
    </w:p>
    <w:p w14:paraId="7511F4F3">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关于承包人提交</w:t>
      </w:r>
      <w:r>
        <w:rPr>
          <w:rFonts w:hint="eastAsia" w:asciiTheme="minorEastAsia" w:hAnsiTheme="minorEastAsia" w:eastAsiaTheme="minorEastAsia" w:cstheme="minorEastAsia"/>
          <w:kern w:val="0"/>
          <w:sz w:val="24"/>
          <w:szCs w:val="24"/>
        </w:rPr>
        <w:t>工程开工报审表的期限：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C95CE3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关于发包人应完成的其他开工准备工作及期限：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190441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关于承包人应完成的其他开工准备工作及期限：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6504DF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7.3.2开工通知</w:t>
      </w:r>
    </w:p>
    <w:p w14:paraId="5429C26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因发包人原因造成监理人未能在计划开工日期之日起</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天内发出开工通知的，承包人有权提出价格调整要求，或者解除合同。</w:t>
      </w:r>
    </w:p>
    <w:bookmarkEnd w:id="257"/>
    <w:bookmarkEnd w:id="258"/>
    <w:bookmarkEnd w:id="259"/>
    <w:bookmarkEnd w:id="260"/>
    <w:bookmarkEnd w:id="261"/>
    <w:bookmarkEnd w:id="262"/>
    <w:bookmarkEnd w:id="263"/>
    <w:p w14:paraId="54C64A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测量放线</w:t>
      </w:r>
    </w:p>
    <w:p w14:paraId="1AC6C3A9">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7.4.1发包人通过监理人向承包人提供测量基准点、基准线和水准点及其书面资料的期限：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257C65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bookmarkStart w:id="264" w:name="_Toc297216175"/>
      <w:bookmarkStart w:id="265" w:name="_Toc312678010"/>
      <w:bookmarkStart w:id="266" w:name="_Toc303539125"/>
      <w:bookmarkStart w:id="267" w:name="_Toc312677484"/>
      <w:bookmarkStart w:id="268" w:name="_Toc297123516"/>
      <w:bookmarkStart w:id="269" w:name="_Toc304295546"/>
      <w:bookmarkStart w:id="270" w:name="_Toc300934968"/>
      <w:r>
        <w:rPr>
          <w:rFonts w:hint="eastAsia" w:asciiTheme="minorEastAsia" w:hAnsiTheme="minorEastAsia" w:eastAsiaTheme="minorEastAsia" w:cstheme="minorEastAsia"/>
          <w:sz w:val="24"/>
          <w:szCs w:val="24"/>
        </w:rPr>
        <w:t>.5 工期延误</w:t>
      </w:r>
    </w:p>
    <w:bookmarkEnd w:id="264"/>
    <w:bookmarkEnd w:id="265"/>
    <w:bookmarkEnd w:id="266"/>
    <w:bookmarkEnd w:id="267"/>
    <w:bookmarkEnd w:id="268"/>
    <w:bookmarkEnd w:id="269"/>
    <w:bookmarkEnd w:id="270"/>
    <w:p w14:paraId="0D30F57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7.5.1 因发包人原因导致工期延误</w:t>
      </w:r>
    </w:p>
    <w:p w14:paraId="4D899A7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（7）因发包人原因导致工期延误的其他情形：</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DE4462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bookmarkStart w:id="271" w:name="_Toc312677486"/>
      <w:bookmarkStart w:id="272" w:name="_Toc318581169"/>
      <w:bookmarkStart w:id="273" w:name="_Toc312678012"/>
      <w:bookmarkStart w:id="274" w:name="_Toc300934970"/>
      <w:bookmarkStart w:id="275" w:name="_Toc297216177"/>
      <w:bookmarkStart w:id="276" w:name="_Toc304295548"/>
      <w:bookmarkStart w:id="277" w:name="_Toc297123518"/>
      <w:bookmarkStart w:id="278" w:name="_Toc303539127"/>
      <w:r>
        <w:rPr>
          <w:rFonts w:hint="eastAsia" w:asciiTheme="minorEastAsia" w:hAnsiTheme="minorEastAsia" w:eastAsiaTheme="minorEastAsia" w:cstheme="minorEastAsia"/>
          <w:sz w:val="24"/>
          <w:szCs w:val="24"/>
        </w:rPr>
        <w:t>.5.2 因承包人原因导致工期延误</w:t>
      </w:r>
    </w:p>
    <w:bookmarkEnd w:id="271"/>
    <w:bookmarkEnd w:id="272"/>
    <w:bookmarkEnd w:id="273"/>
    <w:p w14:paraId="4045BAF4">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因</w:t>
      </w:r>
      <w:bookmarkStart w:id="279" w:name="_Toc318581170"/>
      <w:bookmarkStart w:id="280" w:name="_Toc312678013"/>
      <w:bookmarkStart w:id="281" w:name="_Toc312677487"/>
      <w:r>
        <w:rPr>
          <w:rFonts w:hint="eastAsia" w:asciiTheme="minorEastAsia" w:hAnsiTheme="minorEastAsia" w:eastAsiaTheme="minorEastAsia" w:cstheme="minorEastAsia"/>
          <w:sz w:val="24"/>
          <w:szCs w:val="24"/>
        </w:rPr>
        <w:t>承包人原因造成工期延误，逾期竣工违约金的计算方法为：</w:t>
      </w:r>
    </w:p>
    <w:p w14:paraId="6567F9AC">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bookmarkEnd w:id="274"/>
    <w:bookmarkEnd w:id="275"/>
    <w:bookmarkEnd w:id="276"/>
    <w:bookmarkEnd w:id="277"/>
    <w:bookmarkEnd w:id="278"/>
    <w:bookmarkEnd w:id="279"/>
    <w:bookmarkEnd w:id="280"/>
    <w:bookmarkEnd w:id="281"/>
    <w:p w14:paraId="55DDA26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因承包人原因造成工期延误，逾</w:t>
      </w:r>
      <w:bookmarkStart w:id="282" w:name="_Toc312678014"/>
      <w:bookmarkStart w:id="283" w:name="_Toc318581171"/>
      <w:r>
        <w:rPr>
          <w:rFonts w:hint="eastAsia" w:asciiTheme="minorEastAsia" w:hAnsiTheme="minorEastAsia" w:eastAsiaTheme="minorEastAsia" w:cstheme="minorEastAsia"/>
          <w:sz w:val="24"/>
          <w:szCs w:val="24"/>
        </w:rPr>
        <w:t>期竣工违约金的上限：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282"/>
    <w:bookmarkEnd w:id="283"/>
    <w:p w14:paraId="2C92B00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bookmarkStart w:id="284" w:name="_Toc312678015"/>
      <w:bookmarkStart w:id="285" w:name="_Toc297216178"/>
      <w:bookmarkStart w:id="286" w:name="_Toc300934971"/>
      <w:bookmarkStart w:id="287" w:name="_Toc297123519"/>
      <w:bookmarkStart w:id="288" w:name="_Toc304295549"/>
      <w:bookmarkStart w:id="289" w:name="_Toc303539128"/>
      <w:r>
        <w:rPr>
          <w:rFonts w:hint="eastAsia" w:asciiTheme="minorEastAsia" w:hAnsiTheme="minorEastAsia" w:eastAsiaTheme="minorEastAsia" w:cstheme="minorEastAsia"/>
          <w:sz w:val="24"/>
          <w:szCs w:val="24"/>
        </w:rPr>
        <w:t>.6 不</w:t>
      </w:r>
      <w:bookmarkEnd w:id="284"/>
      <w:bookmarkEnd w:id="285"/>
      <w:bookmarkEnd w:id="286"/>
      <w:bookmarkEnd w:id="287"/>
      <w:bookmarkEnd w:id="288"/>
      <w:bookmarkEnd w:id="289"/>
      <w:r>
        <w:rPr>
          <w:rFonts w:hint="eastAsia" w:asciiTheme="minorEastAsia" w:hAnsiTheme="minorEastAsia" w:eastAsiaTheme="minorEastAsia" w:cstheme="minorEastAsia"/>
          <w:sz w:val="24"/>
          <w:szCs w:val="24"/>
        </w:rPr>
        <w:t>利物质条件</w:t>
      </w:r>
    </w:p>
    <w:p w14:paraId="6B6ECA46">
      <w:pPr>
        <w:spacing w:line="360" w:lineRule="auto"/>
        <w:ind w:firstLine="480" w:firstLineChars="200"/>
        <w:jc w:val="left"/>
        <w:rPr>
          <w:rFonts w:asciiTheme="minorEastAsia" w:hAnsiTheme="minorEastAsia" w:eastAsiaTheme="minorEastAsia" w:cstheme="minorEastAsia"/>
          <w:sz w:val="24"/>
          <w:szCs w:val="24"/>
        </w:rPr>
      </w:pPr>
      <w:bookmarkStart w:id="290" w:name="_Toc304295550"/>
      <w:bookmarkStart w:id="291" w:name="_Toc312678016"/>
      <w:bookmarkStart w:id="292" w:name="_Toc300934972"/>
      <w:bookmarkStart w:id="293" w:name="_Toc297216179"/>
      <w:bookmarkStart w:id="294" w:name="_Toc318581172"/>
      <w:bookmarkStart w:id="295" w:name="_Toc303539129"/>
      <w:bookmarkStart w:id="296" w:name="_Toc297123520"/>
      <w:r>
        <w:rPr>
          <w:rFonts w:hint="eastAsia" w:asciiTheme="minorEastAsia" w:hAnsiTheme="minorEastAsia" w:eastAsiaTheme="minorEastAsia" w:cstheme="minorEastAsia"/>
          <w:sz w:val="24"/>
          <w:szCs w:val="24"/>
        </w:rPr>
        <w:t>不利物质条件的其他情形和有关约定：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290"/>
    <w:bookmarkEnd w:id="291"/>
    <w:bookmarkEnd w:id="292"/>
    <w:bookmarkEnd w:id="293"/>
    <w:bookmarkEnd w:id="294"/>
    <w:bookmarkEnd w:id="295"/>
    <w:bookmarkEnd w:id="296"/>
    <w:p w14:paraId="7782B62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bookmarkStart w:id="297" w:name="_Toc297123521"/>
      <w:bookmarkStart w:id="298" w:name="_Toc300934973"/>
      <w:bookmarkStart w:id="299" w:name="_Toc303539130"/>
      <w:bookmarkStart w:id="300" w:name="_Toc312678017"/>
      <w:bookmarkStart w:id="301" w:name="_Toc297216180"/>
      <w:bookmarkStart w:id="302" w:name="_Toc304295551"/>
      <w:r>
        <w:rPr>
          <w:rFonts w:hint="eastAsia" w:asciiTheme="minorEastAsia" w:hAnsiTheme="minorEastAsia" w:eastAsiaTheme="minorEastAsia" w:cstheme="minorEastAsia"/>
          <w:sz w:val="24"/>
          <w:szCs w:val="24"/>
        </w:rPr>
        <w:t>.7异常恶劣的气候条件</w:t>
      </w:r>
    </w:p>
    <w:bookmarkEnd w:id="297"/>
    <w:bookmarkEnd w:id="298"/>
    <w:bookmarkEnd w:id="299"/>
    <w:bookmarkEnd w:id="300"/>
    <w:bookmarkEnd w:id="301"/>
    <w:bookmarkEnd w:id="302"/>
    <w:p w14:paraId="006FC6B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发包人和承包人同意以下情形视为异常恶劣的气候条件：</w:t>
      </w:r>
    </w:p>
    <w:p w14:paraId="27713B0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93EF3C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316ED98">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220F20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 提前竣工的奖励</w:t>
      </w:r>
    </w:p>
    <w:p w14:paraId="5AE5532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7.9.2提前竣工的奖励：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8345EE3">
      <w:pPr>
        <w:spacing w:line="360" w:lineRule="auto"/>
        <w:ind w:firstLine="480" w:firstLineChars="200"/>
        <w:rPr>
          <w:rFonts w:asciiTheme="minorEastAsia" w:hAnsiTheme="minorEastAsia" w:eastAsiaTheme="minorEastAsia" w:cstheme="minorEastAsia"/>
          <w:sz w:val="24"/>
          <w:szCs w:val="24"/>
        </w:rPr>
      </w:pPr>
      <w:bookmarkStart w:id="303" w:name="_Toc24276"/>
      <w:bookmarkStart w:id="304" w:name="_Toc9236"/>
      <w:bookmarkStart w:id="305" w:name="_Toc351203640"/>
      <w:r>
        <w:rPr>
          <w:rFonts w:hint="eastAsia" w:asciiTheme="minorEastAsia" w:hAnsiTheme="minorEastAsia" w:eastAsiaTheme="minorEastAsia" w:cstheme="minorEastAsia"/>
          <w:sz w:val="24"/>
          <w:szCs w:val="24"/>
        </w:rPr>
        <w:t>8. 材料与设备</w:t>
      </w:r>
      <w:bookmarkEnd w:id="303"/>
      <w:bookmarkEnd w:id="304"/>
      <w:bookmarkEnd w:id="305"/>
    </w:p>
    <w:bookmarkEnd w:id="230"/>
    <w:bookmarkEnd w:id="231"/>
    <w:bookmarkEnd w:id="232"/>
    <w:bookmarkEnd w:id="233"/>
    <w:bookmarkEnd w:id="234"/>
    <w:bookmarkEnd w:id="235"/>
    <w:bookmarkEnd w:id="236"/>
    <w:bookmarkEnd w:id="237"/>
    <w:bookmarkEnd w:id="238"/>
    <w:bookmarkEnd w:id="239"/>
    <w:p w14:paraId="5CEDC6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bookmarkStart w:id="306" w:name="_Toc296890995"/>
      <w:bookmarkStart w:id="307" w:name="_Toc312677493"/>
      <w:bookmarkStart w:id="308" w:name="_Toc292559372"/>
      <w:bookmarkStart w:id="309" w:name="_Toc300934979"/>
      <w:bookmarkStart w:id="310" w:name="_Toc292559877"/>
      <w:bookmarkStart w:id="311" w:name="_Toc297123527"/>
      <w:bookmarkStart w:id="312" w:name="_Toc296347166"/>
      <w:bookmarkStart w:id="313" w:name="_Toc296891207"/>
      <w:bookmarkStart w:id="314" w:name="_Toc296346668"/>
      <w:bookmarkStart w:id="315" w:name="_Toc304295556"/>
      <w:bookmarkStart w:id="316" w:name="_Toc280868654"/>
      <w:bookmarkStart w:id="317" w:name="_Toc297048353"/>
      <w:bookmarkStart w:id="318" w:name="_Toc297216186"/>
      <w:bookmarkStart w:id="319" w:name="_Toc296944506"/>
      <w:bookmarkStart w:id="320" w:name="_Toc296503167"/>
      <w:bookmarkStart w:id="321" w:name="_Toc297120467"/>
      <w:bookmarkStart w:id="322" w:name="_Toc303539136"/>
      <w:bookmarkStart w:id="323" w:name="_Toc312678019"/>
      <w:bookmarkStart w:id="324" w:name="_Toc280868655"/>
      <w:bookmarkStart w:id="325" w:name="_Toc267251424"/>
      <w:bookmarkStart w:id="326" w:name="_Toc280868656"/>
      <w:r>
        <w:rPr>
          <w:rFonts w:hint="eastAsia" w:asciiTheme="minorEastAsia" w:hAnsiTheme="minorEastAsia" w:eastAsiaTheme="minorEastAsia" w:cstheme="minorEastAsia"/>
          <w:sz w:val="24"/>
          <w:szCs w:val="24"/>
        </w:rPr>
        <w:t>.4材料与工程设备的保管与使用</w:t>
      </w:r>
    </w:p>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14:paraId="666E329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8</w:t>
      </w:r>
      <w:bookmarkStart w:id="327" w:name="_Toc292559373"/>
      <w:bookmarkStart w:id="328" w:name="_Toc292559878"/>
      <w:bookmarkStart w:id="329" w:name="_Toc312678020"/>
      <w:bookmarkStart w:id="330" w:name="_Toc312677494"/>
      <w:bookmarkStart w:id="331" w:name="_Toc297123528"/>
      <w:bookmarkStart w:id="332" w:name="_Toc296503168"/>
      <w:bookmarkStart w:id="333" w:name="_Toc296346669"/>
      <w:bookmarkStart w:id="334" w:name="_Toc296347167"/>
      <w:bookmarkStart w:id="335" w:name="_Toc297048354"/>
      <w:bookmarkStart w:id="336" w:name="_Toc318581173"/>
      <w:bookmarkStart w:id="337" w:name="_Toc296890996"/>
      <w:bookmarkStart w:id="338" w:name="_Toc296944507"/>
      <w:bookmarkStart w:id="339" w:name="_Toc303539137"/>
      <w:bookmarkStart w:id="340" w:name="_Toc297216187"/>
      <w:bookmarkStart w:id="341" w:name="_Toc297120468"/>
      <w:bookmarkStart w:id="342" w:name="_Toc300934980"/>
      <w:bookmarkStart w:id="343" w:name="_Toc304295557"/>
      <w:bookmarkStart w:id="344" w:name="_Toc296891208"/>
      <w:r>
        <w:rPr>
          <w:rFonts w:hint="eastAsia" w:asciiTheme="minorEastAsia" w:hAnsiTheme="minorEastAsia" w:eastAsiaTheme="minorEastAsia" w:cstheme="minorEastAsia"/>
          <w:sz w:val="24"/>
          <w:szCs w:val="24"/>
        </w:rPr>
        <w:t>.4.1发包人供应的材料设备的保管费用的承担：</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bookmarkEnd w:id="327"/>
      <w:bookmarkEnd w:id="328"/>
    </w:p>
    <w:p w14:paraId="0A7A1E3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 样品</w:t>
      </w:r>
    </w:p>
    <w:p w14:paraId="230EF06D">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8.6.1</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样品的报送与封存</w:t>
      </w:r>
    </w:p>
    <w:p w14:paraId="0F400A69">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需要承包人报送样品的材料或工程设备，样品的种类、名称、规格、数量要求：</w:t>
      </w:r>
      <w:r>
        <w:rPr>
          <w:rFonts w:hint="eastAsia" w:asciiTheme="minorEastAsia" w:hAnsiTheme="minorEastAsia" w:eastAsiaTheme="minorEastAsia" w:cstheme="minorEastAsia"/>
          <w:b/>
          <w:bCs/>
          <w:sz w:val="24"/>
          <w:szCs w:val="24"/>
          <w:u w:val="single"/>
        </w:rPr>
        <w:t xml:space="preserve">                                                                。</w:t>
      </w:r>
    </w:p>
    <w:p w14:paraId="5E304D5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 施工设备和临时设施</w:t>
      </w:r>
    </w:p>
    <w:p w14:paraId="20376116">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8.8.1 承包人提供的施工设备和临时设施</w:t>
      </w:r>
    </w:p>
    <w:p w14:paraId="2AFA4D8A">
      <w:pPr>
        <w:autoSpaceDE w:val="0"/>
        <w:autoSpaceDN w:val="0"/>
        <w:adjustRightInd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关于修建临时设施费用承担的约定：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14:paraId="2FB6B2DF">
      <w:pPr>
        <w:spacing w:line="360" w:lineRule="auto"/>
        <w:ind w:firstLine="480" w:firstLineChars="200"/>
        <w:rPr>
          <w:rFonts w:asciiTheme="minorEastAsia" w:hAnsiTheme="minorEastAsia" w:eastAsiaTheme="minorEastAsia" w:cstheme="minorEastAsia"/>
          <w:sz w:val="24"/>
          <w:szCs w:val="24"/>
        </w:rPr>
      </w:pPr>
      <w:bookmarkStart w:id="345" w:name="_Toc1521"/>
      <w:bookmarkStart w:id="346" w:name="_Toc19415"/>
      <w:bookmarkStart w:id="347" w:name="_Toc351203641"/>
      <w:bookmarkStart w:id="348" w:name="_Toc24801"/>
      <w:bookmarkStart w:id="349" w:name="_Toc5200"/>
      <w:r>
        <w:rPr>
          <w:rFonts w:hint="eastAsia" w:asciiTheme="minorEastAsia" w:hAnsiTheme="minorEastAsia" w:eastAsiaTheme="minorEastAsia" w:cstheme="minorEastAsia"/>
          <w:sz w:val="24"/>
          <w:szCs w:val="24"/>
        </w:rPr>
        <w:t>9</w:t>
      </w:r>
      <w:bookmarkEnd w:id="324"/>
      <w:bookmarkEnd w:id="325"/>
      <w:bookmarkEnd w:id="326"/>
      <w:bookmarkStart w:id="350" w:name="_Toc304295559"/>
      <w:bookmarkStart w:id="351" w:name="_Toc297216192"/>
      <w:bookmarkStart w:id="352" w:name="_Toc303539139"/>
      <w:bookmarkStart w:id="353" w:name="_Toc312677495"/>
      <w:bookmarkStart w:id="354" w:name="_Toc300934982"/>
      <w:bookmarkStart w:id="355" w:name="_Toc312678021"/>
      <w:bookmarkStart w:id="356" w:name="_Toc297123533"/>
      <w:bookmarkStart w:id="357" w:name="_Toc292559378"/>
      <w:bookmarkStart w:id="358" w:name="_Toc297120473"/>
      <w:bookmarkStart w:id="359" w:name="_Toc296891001"/>
      <w:bookmarkStart w:id="360" w:name="_Toc296891213"/>
      <w:bookmarkStart w:id="361" w:name="_Toc297048359"/>
      <w:bookmarkStart w:id="362" w:name="_Toc296503173"/>
      <w:bookmarkStart w:id="363" w:name="_Toc296346674"/>
      <w:bookmarkStart w:id="364" w:name="_Toc267251427"/>
      <w:bookmarkStart w:id="365" w:name="_Toc296347172"/>
      <w:bookmarkStart w:id="366" w:name="_Toc267251428"/>
      <w:bookmarkStart w:id="367" w:name="_Toc292559883"/>
      <w:bookmarkStart w:id="368" w:name="_Toc296944512"/>
      <w:r>
        <w:rPr>
          <w:rFonts w:hint="eastAsia" w:asciiTheme="minorEastAsia" w:hAnsiTheme="minorEastAsia" w:eastAsiaTheme="minorEastAsia" w:cstheme="minorEastAsia"/>
          <w:sz w:val="24"/>
          <w:szCs w:val="24"/>
        </w:rPr>
        <w:t>. 试验与检验</w:t>
      </w:r>
      <w:bookmarkEnd w:id="345"/>
      <w:bookmarkEnd w:id="346"/>
      <w:bookmarkEnd w:id="347"/>
      <w:bookmarkEnd w:id="348"/>
      <w:bookmarkEnd w:id="349"/>
    </w:p>
    <w:bookmarkEnd w:id="350"/>
    <w:bookmarkEnd w:id="351"/>
    <w:bookmarkEnd w:id="352"/>
    <w:bookmarkEnd w:id="353"/>
    <w:bookmarkEnd w:id="354"/>
    <w:bookmarkEnd w:id="355"/>
    <w:bookmarkEnd w:id="356"/>
    <w:p w14:paraId="45D754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bookmarkStart w:id="369" w:name="_Toc297216193"/>
      <w:bookmarkStart w:id="370" w:name="_Toc303539140"/>
      <w:bookmarkStart w:id="371" w:name="_Toc297123534"/>
      <w:bookmarkStart w:id="372" w:name="_Toc312678022"/>
      <w:bookmarkStart w:id="373" w:name="_Toc304295560"/>
      <w:bookmarkStart w:id="374" w:name="_Toc300934983"/>
      <w:bookmarkStart w:id="375" w:name="_Toc312677496"/>
      <w:r>
        <w:rPr>
          <w:rFonts w:hint="eastAsia" w:asciiTheme="minorEastAsia" w:hAnsiTheme="minorEastAsia" w:eastAsiaTheme="minorEastAsia" w:cstheme="minorEastAsia"/>
          <w:sz w:val="24"/>
          <w:szCs w:val="24"/>
        </w:rPr>
        <w:t>.1试验设备与试验人员</w:t>
      </w:r>
    </w:p>
    <w:bookmarkEnd w:id="369"/>
    <w:bookmarkEnd w:id="370"/>
    <w:bookmarkEnd w:id="371"/>
    <w:bookmarkEnd w:id="372"/>
    <w:bookmarkEnd w:id="373"/>
    <w:bookmarkEnd w:id="374"/>
    <w:bookmarkEnd w:id="375"/>
    <w:p w14:paraId="15CBF5D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bookmarkStart w:id="376" w:name="_Toc300934984"/>
      <w:bookmarkStart w:id="377" w:name="_Toc297216194"/>
      <w:bookmarkStart w:id="378" w:name="_Toc297123535"/>
      <w:bookmarkStart w:id="379" w:name="_Toc304295561"/>
      <w:bookmarkStart w:id="380" w:name="_Toc312678023"/>
      <w:bookmarkStart w:id="381" w:name="_Toc303539141"/>
      <w:bookmarkStart w:id="382" w:name="_Toc312677497"/>
      <w:bookmarkStart w:id="383" w:name="_Toc318581174"/>
      <w:r>
        <w:rPr>
          <w:rFonts w:hint="eastAsia" w:asciiTheme="minorEastAsia" w:hAnsiTheme="minorEastAsia" w:eastAsiaTheme="minorEastAsia" w:cstheme="minorEastAsia"/>
          <w:sz w:val="24"/>
          <w:szCs w:val="24"/>
        </w:rPr>
        <w:t>.1.2 试验设备</w:t>
      </w:r>
    </w:p>
    <w:p w14:paraId="68A7C28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施工现场需要配置的试验场所：</w:t>
      </w:r>
      <w:bookmarkEnd w:id="376"/>
      <w:bookmarkEnd w:id="377"/>
      <w:bookmarkEnd w:id="378"/>
      <w:bookmarkEnd w:id="379"/>
      <w:bookmarkEnd w:id="380"/>
      <w:bookmarkEnd w:id="381"/>
      <w:bookmarkEnd w:id="382"/>
      <w:bookmarkStart w:id="384" w:name="_Toc304295562"/>
      <w:bookmarkStart w:id="385" w:name="_Toc312677498"/>
      <w:bookmarkStart w:id="386" w:name="_Toc297216195"/>
      <w:bookmarkStart w:id="387" w:name="_Toc300934985"/>
      <w:bookmarkStart w:id="388" w:name="_Toc297123536"/>
      <w:bookmarkStart w:id="389" w:name="_Toc303539142"/>
      <w:bookmarkStart w:id="390" w:name="_Toc312678024"/>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A8A628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施工现场需要配备的试验设备：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0B7F39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施工现场需要具备的其他试验条件：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311AC2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9.4 现场工艺试验 </w:t>
      </w:r>
    </w:p>
    <w:p w14:paraId="3B3BE59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现场工艺试验的有关约定：</w:t>
      </w:r>
      <w:bookmarkEnd w:id="357"/>
      <w:bookmarkEnd w:id="358"/>
      <w:bookmarkEnd w:id="359"/>
      <w:bookmarkEnd w:id="360"/>
      <w:bookmarkEnd w:id="361"/>
      <w:bookmarkEnd w:id="362"/>
      <w:bookmarkEnd w:id="363"/>
      <w:bookmarkEnd w:id="364"/>
      <w:bookmarkEnd w:id="365"/>
      <w:bookmarkEnd w:id="366"/>
      <w:bookmarkEnd w:id="367"/>
      <w:bookmarkEnd w:id="368"/>
      <w:bookmarkEnd w:id="383"/>
      <w:bookmarkEnd w:id="384"/>
      <w:bookmarkEnd w:id="385"/>
      <w:bookmarkEnd w:id="386"/>
      <w:bookmarkEnd w:id="387"/>
      <w:bookmarkEnd w:id="388"/>
      <w:bookmarkEnd w:id="389"/>
      <w:bookmarkEnd w:id="390"/>
      <w:bookmarkStart w:id="391" w:name="_Toc312678025"/>
      <w:bookmarkStart w:id="392" w:name="_Toc312677499"/>
      <w:bookmarkStart w:id="393" w:name="_Toc267251441"/>
      <w:bookmarkStart w:id="394" w:name="_Toc267251435"/>
      <w:bookmarkStart w:id="395" w:name="_Toc267251440"/>
      <w:bookmarkStart w:id="396" w:name="_Toc267251433"/>
      <w:bookmarkStart w:id="397" w:name="_Toc267251439"/>
      <w:bookmarkStart w:id="398" w:name="_Toc267251437"/>
      <w:bookmarkStart w:id="399" w:name="_Toc267251442"/>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91CE929">
      <w:pPr>
        <w:spacing w:line="360" w:lineRule="auto"/>
        <w:ind w:firstLine="480" w:firstLineChars="200"/>
        <w:rPr>
          <w:rFonts w:asciiTheme="minorEastAsia" w:hAnsiTheme="minorEastAsia" w:eastAsiaTheme="minorEastAsia" w:cstheme="minorEastAsia"/>
          <w:sz w:val="24"/>
          <w:szCs w:val="24"/>
        </w:rPr>
      </w:pPr>
      <w:bookmarkStart w:id="400" w:name="_Toc351203642"/>
      <w:bookmarkStart w:id="401" w:name="_Toc22862"/>
      <w:bookmarkStart w:id="402" w:name="_Toc27920"/>
      <w:bookmarkStart w:id="403" w:name="_Toc25236"/>
      <w:bookmarkStart w:id="404" w:name="_Toc22197"/>
      <w:r>
        <w:rPr>
          <w:rFonts w:hint="eastAsia" w:asciiTheme="minorEastAsia" w:hAnsiTheme="minorEastAsia" w:eastAsiaTheme="minorEastAsia" w:cstheme="minorEastAsia"/>
          <w:sz w:val="24"/>
          <w:szCs w:val="24"/>
        </w:rPr>
        <w:t>1</w:t>
      </w:r>
      <w:bookmarkStart w:id="405" w:name="_Toc297123540"/>
      <w:bookmarkStart w:id="406" w:name="_Toc296891233"/>
      <w:bookmarkStart w:id="407" w:name="_Toc297048379"/>
      <w:bookmarkStart w:id="408" w:name="_Toc296944532"/>
      <w:bookmarkStart w:id="409" w:name="_Toc296346694"/>
      <w:bookmarkStart w:id="410" w:name="_Toc300934989"/>
      <w:bookmarkStart w:id="411" w:name="_Toc297120493"/>
      <w:bookmarkStart w:id="412" w:name="_Toc296503193"/>
      <w:bookmarkStart w:id="413" w:name="_Toc296891021"/>
      <w:bookmarkStart w:id="414" w:name="_Toc304295566"/>
      <w:bookmarkStart w:id="415" w:name="_Toc292559903"/>
      <w:bookmarkStart w:id="416" w:name="_Toc296347192"/>
      <w:bookmarkStart w:id="417" w:name="_Toc297216199"/>
      <w:bookmarkStart w:id="418" w:name="_Toc292559398"/>
      <w:bookmarkStart w:id="419" w:name="_Toc303539146"/>
      <w:r>
        <w:rPr>
          <w:rFonts w:hint="eastAsia" w:asciiTheme="minorEastAsia" w:hAnsiTheme="minorEastAsia" w:eastAsiaTheme="minorEastAsia" w:cstheme="minorEastAsia"/>
          <w:sz w:val="24"/>
          <w:szCs w:val="24"/>
        </w:rPr>
        <w:t>0. 变更</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391"/>
    <w:bookmarkEnd w:id="392"/>
    <w:p w14:paraId="57EB138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bookmarkStart w:id="420" w:name="_Toc300934990"/>
      <w:bookmarkStart w:id="421" w:name="_Toc292559399"/>
      <w:bookmarkStart w:id="422" w:name="_Toc296891022"/>
      <w:bookmarkStart w:id="423" w:name="_Toc297048380"/>
      <w:bookmarkStart w:id="424" w:name="_Toc312678026"/>
      <w:bookmarkStart w:id="425" w:name="_Toc297120494"/>
      <w:bookmarkStart w:id="426" w:name="_Toc312677500"/>
      <w:bookmarkStart w:id="427" w:name="_Toc296346695"/>
      <w:bookmarkStart w:id="428" w:name="_Toc297216200"/>
      <w:bookmarkStart w:id="429" w:name="_Toc292559904"/>
      <w:bookmarkStart w:id="430" w:name="_Toc296944533"/>
      <w:bookmarkStart w:id="431" w:name="_Toc296891234"/>
      <w:bookmarkStart w:id="432" w:name="_Toc304295567"/>
      <w:bookmarkStart w:id="433" w:name="_Toc303539147"/>
      <w:bookmarkStart w:id="434" w:name="_Toc297123541"/>
      <w:bookmarkStart w:id="435" w:name="_Toc296347193"/>
      <w:bookmarkStart w:id="436" w:name="_Toc296503194"/>
      <w:r>
        <w:rPr>
          <w:rFonts w:hint="eastAsia" w:asciiTheme="minorEastAsia" w:hAnsiTheme="minorEastAsia" w:eastAsiaTheme="minorEastAsia" w:cstheme="minorEastAsia"/>
          <w:sz w:val="24"/>
          <w:szCs w:val="24"/>
        </w:rPr>
        <w:t>0.1变更的范围</w:t>
      </w:r>
    </w:p>
    <w:p w14:paraId="6B2207F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关于变更的范围的约定：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71F43F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变更估价</w:t>
      </w:r>
    </w:p>
    <w:p w14:paraId="433195C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10.4.1 变更估价原则</w:t>
      </w:r>
    </w:p>
    <w:p w14:paraId="75126E03">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关于变更估价的约定: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76AFDD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Start w:id="437" w:name="_Toc296346698"/>
      <w:bookmarkStart w:id="438" w:name="_Toc296944536"/>
      <w:bookmarkStart w:id="439" w:name="_Toc296347196"/>
      <w:bookmarkStart w:id="440" w:name="_Toc297216203"/>
      <w:bookmarkStart w:id="441" w:name="_Toc296891237"/>
      <w:bookmarkStart w:id="442" w:name="_Toc292559402"/>
      <w:bookmarkStart w:id="443" w:name="_Toc297048383"/>
      <w:bookmarkStart w:id="444" w:name="_Toc292559907"/>
      <w:bookmarkStart w:id="445" w:name="_Toc303539150"/>
      <w:bookmarkStart w:id="446" w:name="_Toc296503197"/>
      <w:bookmarkStart w:id="447" w:name="_Toc296891025"/>
      <w:bookmarkStart w:id="448" w:name="_Toc297123544"/>
      <w:bookmarkStart w:id="449" w:name="_Toc297120497"/>
      <w:bookmarkStart w:id="450" w:name="_Toc300934993"/>
      <w:bookmarkStart w:id="451" w:name="_Toc312677503"/>
      <w:bookmarkStart w:id="452" w:name="_Toc312678029"/>
      <w:bookmarkStart w:id="453" w:name="_Toc304295570"/>
      <w:r>
        <w:rPr>
          <w:rFonts w:hint="eastAsia" w:asciiTheme="minorEastAsia" w:hAnsiTheme="minorEastAsia" w:eastAsiaTheme="minorEastAsia" w:cstheme="minorEastAsia"/>
          <w:sz w:val="24"/>
          <w:szCs w:val="24"/>
        </w:rPr>
        <w:t>0.5承</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Start w:id="454" w:name="_Toc296503203"/>
      <w:bookmarkStart w:id="455" w:name="_Toc296347202"/>
      <w:bookmarkStart w:id="456" w:name="_Toc296891243"/>
      <w:bookmarkStart w:id="457" w:name="_Toc296891031"/>
      <w:bookmarkStart w:id="458" w:name="_Toc297123545"/>
      <w:bookmarkStart w:id="459" w:name="_Toc297120503"/>
      <w:bookmarkStart w:id="460" w:name="_Toc296944542"/>
      <w:bookmarkStart w:id="461" w:name="_Toc292559913"/>
      <w:bookmarkStart w:id="462" w:name="_Toc303539151"/>
      <w:bookmarkStart w:id="463" w:name="_Toc300934994"/>
      <w:bookmarkStart w:id="464" w:name="_Toc292559408"/>
      <w:bookmarkStart w:id="465" w:name="_Toc296346704"/>
      <w:bookmarkStart w:id="466" w:name="_Toc297048389"/>
      <w:bookmarkStart w:id="467" w:name="_Toc297216204"/>
      <w:r>
        <w:rPr>
          <w:rFonts w:hint="eastAsia" w:asciiTheme="minorEastAsia" w:hAnsiTheme="minorEastAsia" w:eastAsiaTheme="minorEastAsia" w:cstheme="minorEastAsia"/>
          <w:sz w:val="24"/>
          <w:szCs w:val="24"/>
        </w:rPr>
        <w:t>包人的合理化建议</w: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14:paraId="3DF2EDF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监理人审查承包人合理化建议的期限：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325AA3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发包人审批承包人合理化建议的期限：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C227ED2">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w:t>
      </w:r>
      <w:bookmarkStart w:id="468" w:name="_Toc297048390"/>
      <w:bookmarkStart w:id="469" w:name="_Toc296891244"/>
      <w:bookmarkStart w:id="470" w:name="_Toc304295571"/>
      <w:bookmarkStart w:id="471" w:name="_Toc312677504"/>
      <w:bookmarkStart w:id="472" w:name="_Toc300934995"/>
      <w:bookmarkStart w:id="473" w:name="_Toc312678030"/>
      <w:bookmarkStart w:id="474" w:name="_Toc297123546"/>
      <w:bookmarkStart w:id="475" w:name="_Toc296346705"/>
      <w:bookmarkStart w:id="476" w:name="_Toc296891032"/>
      <w:bookmarkStart w:id="477" w:name="_Toc318581175"/>
      <w:bookmarkStart w:id="478" w:name="_Toc292559409"/>
      <w:bookmarkStart w:id="479" w:name="_Toc297120504"/>
      <w:bookmarkStart w:id="480" w:name="_Toc303539152"/>
      <w:bookmarkStart w:id="481" w:name="_Toc296944543"/>
      <w:bookmarkStart w:id="482" w:name="_Toc296347203"/>
      <w:bookmarkStart w:id="483" w:name="_Toc296503204"/>
      <w:bookmarkStart w:id="484" w:name="_Toc292559914"/>
      <w:bookmarkStart w:id="485" w:name="_Toc297216205"/>
      <w:r>
        <w:rPr>
          <w:rFonts w:hint="eastAsia" w:asciiTheme="minorEastAsia" w:hAnsiTheme="minorEastAsia" w:eastAsiaTheme="minorEastAsia" w:cstheme="minorEastAsia"/>
          <w:sz w:val="24"/>
          <w:szCs w:val="24"/>
        </w:rPr>
        <w:t>包人提出的合理化建议降低了合同价格或者提高了工程经济效益的奖励的方法和金额为：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059BDDE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486" w:name="_Toc312677507"/>
      <w:bookmarkStart w:id="487" w:name="_Toc297123548"/>
      <w:bookmarkStart w:id="488" w:name="_Toc300934997"/>
      <w:bookmarkStart w:id="489" w:name="_Toc292559909"/>
      <w:bookmarkStart w:id="490" w:name="_Toc304295574"/>
      <w:bookmarkStart w:id="491" w:name="_Toc303539154"/>
      <w:bookmarkStart w:id="492" w:name="_Toc297120499"/>
      <w:bookmarkStart w:id="493" w:name="_Toc296503199"/>
      <w:bookmarkStart w:id="494" w:name="_Toc292559404"/>
      <w:bookmarkStart w:id="495" w:name="_Toc297048385"/>
      <w:bookmarkStart w:id="496" w:name="_Toc296891239"/>
      <w:bookmarkStart w:id="497" w:name="_Toc296347198"/>
      <w:bookmarkStart w:id="498" w:name="_Toc312678033"/>
      <w:bookmarkStart w:id="499" w:name="_Toc296346700"/>
      <w:bookmarkStart w:id="500" w:name="_Toc296891027"/>
      <w:bookmarkStart w:id="501" w:name="_Toc297216207"/>
      <w:bookmarkStart w:id="502" w:name="_Toc296944538"/>
      <w:r>
        <w:rPr>
          <w:rFonts w:hint="eastAsia" w:asciiTheme="minorEastAsia" w:hAnsiTheme="minorEastAsia" w:eastAsiaTheme="minorEastAsia" w:cstheme="minorEastAsia"/>
          <w:sz w:val="24"/>
          <w:szCs w:val="24"/>
        </w:rPr>
        <w:t>0.7 暂估价</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30285F2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503" w:name="_Toc312677509"/>
      <w:bookmarkStart w:id="504" w:name="_Toc318581177"/>
      <w:bookmarkStart w:id="505" w:name="_Toc312678035"/>
      <w:r>
        <w:rPr>
          <w:rFonts w:hint="eastAsia" w:asciiTheme="minorEastAsia" w:hAnsiTheme="minorEastAsia" w:eastAsiaTheme="minorEastAsia" w:cstheme="minorEastAsia"/>
          <w:sz w:val="24"/>
          <w:szCs w:val="24"/>
        </w:rPr>
        <w:t>0.7.1 依法必须招标的暂估价项目</w:t>
      </w:r>
    </w:p>
    <w:bookmarkEnd w:id="503"/>
    <w:bookmarkEnd w:id="504"/>
    <w:bookmarkEnd w:id="505"/>
    <w:p w14:paraId="60CE348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对于依法必须招标的暂估价项目的确认和批准采取第</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种方式确定。</w:t>
      </w:r>
    </w:p>
    <w:p w14:paraId="68CACA8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10.7.2 不属于依法必须招标的暂估价项目</w:t>
      </w:r>
    </w:p>
    <w:p w14:paraId="36E27F0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对于不属于依法必须招标的暂估价项目的确认和批准采取第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种方式确定。</w:t>
      </w:r>
    </w:p>
    <w:p w14:paraId="1AF1A281">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第3种方式：</w:t>
      </w:r>
      <w:r>
        <w:rPr>
          <w:rFonts w:hint="eastAsia" w:asciiTheme="minorEastAsia" w:hAnsiTheme="minorEastAsia" w:eastAsiaTheme="minorEastAsia" w:cstheme="minorEastAsia"/>
          <w:kern w:val="0"/>
          <w:sz w:val="24"/>
          <w:szCs w:val="24"/>
        </w:rPr>
        <w:t>承包人直接实施的暂估价项目</w:t>
      </w:r>
    </w:p>
    <w:p w14:paraId="1E84BFE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承包人直接实施的暂估价项目的约定：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BF61C1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 暂列金额</w:t>
      </w:r>
    </w:p>
    <w:p w14:paraId="1DD32658">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合同当事人关于暂列金额使用的约定：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kern w:val="0"/>
          <w:sz w:val="24"/>
          <w:szCs w:val="24"/>
        </w:rPr>
        <w:t>。</w:t>
      </w:r>
    </w:p>
    <w:p w14:paraId="0B8C426B">
      <w:pPr>
        <w:spacing w:line="360" w:lineRule="auto"/>
        <w:ind w:firstLine="480" w:firstLineChars="200"/>
        <w:rPr>
          <w:rFonts w:asciiTheme="minorEastAsia" w:hAnsiTheme="minorEastAsia" w:eastAsiaTheme="minorEastAsia" w:cstheme="minorEastAsia"/>
          <w:sz w:val="24"/>
          <w:szCs w:val="24"/>
        </w:rPr>
      </w:pPr>
      <w:bookmarkStart w:id="506" w:name="_Toc351203643"/>
      <w:bookmarkStart w:id="507" w:name="_Toc20463"/>
      <w:bookmarkStart w:id="508" w:name="_Toc28668"/>
      <w:r>
        <w:rPr>
          <w:rFonts w:hint="eastAsia" w:asciiTheme="minorEastAsia" w:hAnsiTheme="minorEastAsia" w:eastAsiaTheme="minorEastAsia" w:cstheme="minorEastAsia"/>
          <w:sz w:val="24"/>
          <w:szCs w:val="24"/>
        </w:rPr>
        <w:t>11. 价格调整</w:t>
      </w:r>
      <w:bookmarkEnd w:id="506"/>
      <w:bookmarkEnd w:id="507"/>
      <w:bookmarkEnd w:id="508"/>
    </w:p>
    <w:p w14:paraId="1D46B5F2">
      <w:pPr>
        <w:spacing w:line="360" w:lineRule="auto"/>
        <w:ind w:firstLine="480" w:firstLineChars="200"/>
        <w:rPr>
          <w:rFonts w:asciiTheme="minorEastAsia" w:hAnsiTheme="minorEastAsia" w:eastAsiaTheme="minorEastAsia" w:cstheme="minorEastAsia"/>
          <w:sz w:val="24"/>
          <w:szCs w:val="24"/>
        </w:rPr>
      </w:pPr>
      <w:bookmarkStart w:id="509" w:name="_Toc297120501"/>
      <w:bookmarkStart w:id="510" w:name="_Toc297123550"/>
      <w:bookmarkStart w:id="511" w:name="_Toc304295577"/>
      <w:bookmarkStart w:id="512" w:name="_Toc296503201"/>
      <w:bookmarkStart w:id="513" w:name="_Toc297216209"/>
      <w:bookmarkStart w:id="514" w:name="_Toc296346702"/>
      <w:bookmarkStart w:id="515" w:name="_Toc296944540"/>
      <w:bookmarkStart w:id="516" w:name="_Toc292559406"/>
      <w:bookmarkStart w:id="517" w:name="_Toc296891241"/>
      <w:bookmarkStart w:id="518" w:name="_Toc300935000"/>
      <w:bookmarkStart w:id="519" w:name="_Toc296891029"/>
      <w:bookmarkStart w:id="520" w:name="_Toc297048387"/>
      <w:bookmarkStart w:id="521" w:name="_Toc312678039"/>
      <w:bookmarkStart w:id="522" w:name="_Toc296347200"/>
      <w:bookmarkStart w:id="523" w:name="_Toc292559911"/>
      <w:bookmarkStart w:id="524" w:name="_Toc303539157"/>
      <w:r>
        <w:rPr>
          <w:rFonts w:hint="eastAsia" w:asciiTheme="minorEastAsia" w:hAnsiTheme="minorEastAsia" w:eastAsiaTheme="minorEastAsia" w:cstheme="minorEastAsia"/>
          <w:sz w:val="24"/>
          <w:szCs w:val="24"/>
        </w:rPr>
        <w:t>11.1 市场价格波动引起的调整</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0B8FCC8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市场价格波动是否调整合同价格的约定：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E366B6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因市场价格波动调整合同价格，采用以下第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种方式对合同价格进行调整：</w:t>
      </w:r>
    </w:p>
    <w:p w14:paraId="562FC09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第1种方式：采用价格指数进行价格调整。</w:t>
      </w:r>
    </w:p>
    <w:p w14:paraId="53B99283">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关于各可调因子、定值和变值权重，以及基本价格指数及其来源的约定：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D1994D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第2种方式：采用造价信息进行价格调整。</w:t>
      </w:r>
    </w:p>
    <w:p w14:paraId="358DC67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（2）关于基准价格的约定：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624137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%时，或材料单价跌幅以已标价工程量清单或预算书中载明材料单价为基础超过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%时，其超过部分据实调整。</w:t>
      </w:r>
    </w:p>
    <w:p w14:paraId="73CE3EC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%时，材料单价涨幅以已标价工程量清单或预算书中载明材料单价为基础超过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%时，其超过部分据实调整。</w:t>
      </w:r>
    </w:p>
    <w:p w14:paraId="4191403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%时，其超过部分据实调整。</w:t>
      </w:r>
    </w:p>
    <w:p w14:paraId="7982883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第3种方式：其他价格调整方式：</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393"/>
    <w:bookmarkEnd w:id="394"/>
    <w:bookmarkEnd w:id="395"/>
    <w:bookmarkEnd w:id="396"/>
    <w:bookmarkEnd w:id="397"/>
    <w:bookmarkEnd w:id="398"/>
    <w:p w14:paraId="6817E18A">
      <w:pPr>
        <w:spacing w:line="360" w:lineRule="auto"/>
        <w:ind w:firstLine="480" w:firstLineChars="200"/>
        <w:rPr>
          <w:rFonts w:asciiTheme="minorEastAsia" w:hAnsiTheme="minorEastAsia" w:eastAsiaTheme="minorEastAsia" w:cstheme="minorEastAsia"/>
          <w:sz w:val="24"/>
          <w:szCs w:val="24"/>
        </w:rPr>
      </w:pPr>
      <w:bookmarkStart w:id="525" w:name="_Toc296891033"/>
      <w:bookmarkStart w:id="526" w:name="_Toc296347204"/>
      <w:bookmarkStart w:id="527" w:name="_Toc297120505"/>
      <w:bookmarkStart w:id="528" w:name="_Toc292559410"/>
      <w:bookmarkStart w:id="529" w:name="_Toc296891245"/>
      <w:bookmarkStart w:id="530" w:name="_Toc292559915"/>
      <w:bookmarkStart w:id="531" w:name="_Toc296944544"/>
      <w:bookmarkStart w:id="532" w:name="_Toc297048391"/>
      <w:bookmarkStart w:id="533" w:name="_Toc296346706"/>
      <w:bookmarkStart w:id="534" w:name="_Toc296503205"/>
      <w:bookmarkStart w:id="535" w:name="_Toc351203644"/>
      <w:bookmarkStart w:id="536" w:name="_Toc31498"/>
      <w:bookmarkStart w:id="537" w:name="_Toc18256"/>
      <w:bookmarkStart w:id="538" w:name="_Toc5454"/>
      <w:bookmarkStart w:id="539" w:name="_Toc18222"/>
      <w:bookmarkStart w:id="540" w:name="_Toc297216211"/>
      <w:bookmarkStart w:id="541" w:name="_Toc297123552"/>
      <w:bookmarkStart w:id="542" w:name="_Toc300935002"/>
      <w:bookmarkStart w:id="543" w:name="_Toc312678040"/>
      <w:bookmarkStart w:id="544" w:name="_Toc304295579"/>
      <w:bookmarkStart w:id="545" w:name="_Toc303539159"/>
      <w:r>
        <w:rPr>
          <w:rFonts w:hint="eastAsia" w:asciiTheme="minorEastAsia" w:hAnsiTheme="minorEastAsia" w:eastAsiaTheme="minorEastAsia" w:cstheme="minorEastAsia"/>
          <w:sz w:val="24"/>
          <w:szCs w:val="24"/>
        </w:rPr>
        <w:t xml:space="preserve">12. </w:t>
      </w:r>
      <w:bookmarkEnd w:id="525"/>
      <w:bookmarkEnd w:id="526"/>
      <w:bookmarkEnd w:id="527"/>
      <w:bookmarkEnd w:id="528"/>
      <w:bookmarkEnd w:id="529"/>
      <w:bookmarkEnd w:id="530"/>
      <w:bookmarkEnd w:id="531"/>
      <w:bookmarkEnd w:id="532"/>
      <w:bookmarkEnd w:id="533"/>
      <w:bookmarkEnd w:id="534"/>
      <w:r>
        <w:rPr>
          <w:rFonts w:hint="eastAsia" w:asciiTheme="minorEastAsia" w:hAnsiTheme="minorEastAsia" w:eastAsiaTheme="minorEastAsia" w:cstheme="minorEastAsia"/>
          <w:sz w:val="24"/>
          <w:szCs w:val="24"/>
        </w:rPr>
        <w:t>合同价格、计量与支付</w:t>
      </w:r>
      <w:bookmarkEnd w:id="535"/>
      <w:bookmarkEnd w:id="536"/>
      <w:bookmarkEnd w:id="537"/>
      <w:bookmarkEnd w:id="538"/>
      <w:bookmarkEnd w:id="539"/>
    </w:p>
    <w:bookmarkEnd w:id="540"/>
    <w:bookmarkEnd w:id="541"/>
    <w:bookmarkEnd w:id="542"/>
    <w:bookmarkEnd w:id="543"/>
    <w:bookmarkEnd w:id="544"/>
    <w:bookmarkEnd w:id="545"/>
    <w:p w14:paraId="1E0DEFBC">
      <w:pPr>
        <w:spacing w:line="360" w:lineRule="auto"/>
        <w:ind w:firstLine="480" w:firstLineChars="200"/>
        <w:rPr>
          <w:rFonts w:asciiTheme="minorEastAsia" w:hAnsiTheme="minorEastAsia" w:eastAsiaTheme="minorEastAsia" w:cstheme="minorEastAsia"/>
          <w:sz w:val="24"/>
          <w:szCs w:val="24"/>
        </w:rPr>
      </w:pPr>
      <w:bookmarkStart w:id="546" w:name="_Toc292559411"/>
      <w:bookmarkStart w:id="547" w:name="_Toc267251461"/>
      <w:bookmarkStart w:id="548" w:name="_Toc292559916"/>
      <w:bookmarkStart w:id="549" w:name="_Toc296944545"/>
      <w:bookmarkStart w:id="550" w:name="_Toc296347205"/>
      <w:bookmarkStart w:id="551" w:name="_Toc296346707"/>
      <w:bookmarkStart w:id="552" w:name="_Toc297120506"/>
      <w:bookmarkStart w:id="553" w:name="_Toc296891034"/>
      <w:bookmarkStart w:id="554" w:name="_Toc297048392"/>
      <w:bookmarkStart w:id="555" w:name="_Toc296503206"/>
      <w:bookmarkStart w:id="556" w:name="_Toc296891246"/>
      <w:bookmarkStart w:id="557" w:name="_Toc297123553"/>
      <w:bookmarkStart w:id="558" w:name="_Toc300935003"/>
      <w:bookmarkStart w:id="559" w:name="_Toc312678041"/>
      <w:bookmarkStart w:id="560" w:name="_Toc304295580"/>
      <w:bookmarkStart w:id="561" w:name="_Toc303539160"/>
      <w:bookmarkStart w:id="562" w:name="_Toc297216212"/>
      <w:r>
        <w:rPr>
          <w:rFonts w:hint="eastAsia" w:asciiTheme="minorEastAsia" w:hAnsiTheme="minorEastAsia" w:eastAsiaTheme="minorEastAsia" w:cstheme="minorEastAsia"/>
          <w:sz w:val="24"/>
          <w:szCs w:val="24"/>
        </w:rPr>
        <w:t>12.1 合</w:t>
      </w:r>
      <w:bookmarkEnd w:id="546"/>
      <w:bookmarkEnd w:id="547"/>
      <w:bookmarkEnd w:id="548"/>
      <w:r>
        <w:rPr>
          <w:rFonts w:hint="eastAsia" w:asciiTheme="minorEastAsia" w:hAnsiTheme="minorEastAsia" w:eastAsiaTheme="minorEastAsia" w:cstheme="minorEastAsia"/>
          <w:sz w:val="24"/>
          <w:szCs w:val="24"/>
        </w:rPr>
        <w:t>同价</w:t>
      </w:r>
      <w:bookmarkEnd w:id="549"/>
      <w:bookmarkEnd w:id="550"/>
      <w:bookmarkEnd w:id="551"/>
      <w:bookmarkEnd w:id="552"/>
      <w:bookmarkEnd w:id="553"/>
      <w:bookmarkEnd w:id="554"/>
      <w:bookmarkEnd w:id="555"/>
      <w:bookmarkEnd w:id="556"/>
      <w:r>
        <w:rPr>
          <w:rFonts w:hint="eastAsia" w:asciiTheme="minorEastAsia" w:hAnsiTheme="minorEastAsia" w:eastAsiaTheme="minorEastAsia" w:cstheme="minorEastAsia"/>
          <w:sz w:val="24"/>
          <w:szCs w:val="24"/>
        </w:rPr>
        <w:t>格形式</w:t>
      </w:r>
    </w:p>
    <w:bookmarkEnd w:id="557"/>
    <w:bookmarkEnd w:id="558"/>
    <w:bookmarkEnd w:id="559"/>
    <w:bookmarkEnd w:id="560"/>
    <w:bookmarkEnd w:id="561"/>
    <w:bookmarkEnd w:id="562"/>
    <w:p w14:paraId="3DAEC4B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1、单价合同。</w:t>
      </w:r>
    </w:p>
    <w:p w14:paraId="6F2E168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综合单价包含的风险范围：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F10A2C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风险费用的计算方法：</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0A8443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风险范围以外合同价格的调整方法：</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4A0C16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2、总价合同。</w:t>
      </w:r>
    </w:p>
    <w:p w14:paraId="22379DE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总价包含的风险范围：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881EB9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风险费用的计算方法：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1D46C2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风险范围以外合同价格的调整方法：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2373CE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3、其他价格方式：</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F796273">
      <w:pPr>
        <w:spacing w:line="360" w:lineRule="auto"/>
        <w:ind w:firstLine="480" w:firstLineChars="200"/>
        <w:rPr>
          <w:rFonts w:asciiTheme="minorEastAsia" w:hAnsiTheme="minorEastAsia" w:eastAsiaTheme="minorEastAsia" w:cstheme="minorEastAsia"/>
          <w:sz w:val="24"/>
          <w:szCs w:val="24"/>
        </w:rPr>
      </w:pPr>
      <w:bookmarkStart w:id="563" w:name="_Toc297216213"/>
      <w:bookmarkStart w:id="564" w:name="_Toc303539161"/>
      <w:bookmarkStart w:id="565" w:name="_Toc312678042"/>
      <w:bookmarkStart w:id="566" w:name="_Toc300935004"/>
      <w:bookmarkStart w:id="567" w:name="_Toc304295581"/>
      <w:bookmarkStart w:id="568" w:name="_Toc297123554"/>
      <w:bookmarkStart w:id="569" w:name="_Toc296891035"/>
      <w:bookmarkStart w:id="570" w:name="_Toc292559917"/>
      <w:bookmarkStart w:id="571" w:name="_Toc296503207"/>
      <w:bookmarkStart w:id="572" w:name="_Toc296944546"/>
      <w:bookmarkStart w:id="573" w:name="_Toc296891247"/>
      <w:bookmarkStart w:id="574" w:name="_Toc292559412"/>
      <w:bookmarkStart w:id="575" w:name="_Toc297120507"/>
      <w:bookmarkStart w:id="576" w:name="_Toc296347206"/>
      <w:bookmarkStart w:id="577" w:name="_Toc296346708"/>
      <w:bookmarkStart w:id="578" w:name="_Toc297048393"/>
      <w:r>
        <w:rPr>
          <w:rFonts w:hint="eastAsia" w:asciiTheme="minorEastAsia" w:hAnsiTheme="minorEastAsia" w:eastAsiaTheme="minorEastAsia" w:cstheme="minorEastAsia"/>
          <w:sz w:val="24"/>
          <w:szCs w:val="24"/>
        </w:rPr>
        <w:t>12.2 预付款</w:t>
      </w:r>
    </w:p>
    <w:bookmarkEnd w:id="563"/>
    <w:bookmarkEnd w:id="564"/>
    <w:bookmarkEnd w:id="565"/>
    <w:bookmarkEnd w:id="566"/>
    <w:bookmarkEnd w:id="567"/>
    <w:bookmarkEnd w:id="568"/>
    <w:p w14:paraId="71CDCBC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12.2.1 预付款的支付</w:t>
      </w:r>
    </w:p>
    <w:p w14:paraId="4442BF0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预付款支付比例或金额：</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0AAC90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预付款支付期限：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3182CF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预付款扣回的方式：</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9706668">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12.2.2 预付款担保</w:t>
      </w:r>
    </w:p>
    <w:p w14:paraId="41ACDEE2">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承包人提交预付款担保的期限：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4AE1F27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预付款担保的形式为：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569"/>
    <w:bookmarkEnd w:id="570"/>
    <w:bookmarkEnd w:id="571"/>
    <w:bookmarkEnd w:id="572"/>
    <w:bookmarkEnd w:id="573"/>
    <w:bookmarkEnd w:id="574"/>
    <w:bookmarkEnd w:id="575"/>
    <w:bookmarkEnd w:id="576"/>
    <w:bookmarkEnd w:id="577"/>
    <w:bookmarkEnd w:id="578"/>
    <w:p w14:paraId="648C72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计量</w:t>
      </w:r>
    </w:p>
    <w:p w14:paraId="2A787DF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12.3.1 计量原则</w:t>
      </w:r>
    </w:p>
    <w:p w14:paraId="7984F4B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工程量计算规则：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C43C0D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12.3.2 计量周期</w:t>
      </w:r>
    </w:p>
    <w:p w14:paraId="3122166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关于计量周期的约定：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E274A6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12.3.3 单价合同的计量</w:t>
      </w:r>
    </w:p>
    <w:p w14:paraId="6397CF8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关于单价合同计量的约定：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788841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12.3.4 总价合同的计量</w:t>
      </w:r>
    </w:p>
    <w:p w14:paraId="03C2067E">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关于总价合同计量的约定：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5B7255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12.3.5总价合同采用支付分解表计量支付的，是否适用第</w:t>
      </w:r>
      <w:r>
        <w:rPr>
          <w:rFonts w:hint="eastAsia" w:asciiTheme="minorEastAsia" w:hAnsiTheme="minorEastAsia" w:eastAsiaTheme="minorEastAsia" w:cstheme="minorEastAsia"/>
          <w:kern w:val="0"/>
          <w:sz w:val="24"/>
          <w:szCs w:val="24"/>
        </w:rPr>
        <w:t xml:space="preserve">12.3.4 </w:t>
      </w:r>
      <w:r>
        <w:rPr>
          <w:rFonts w:hint="eastAsia" w:asciiTheme="minorEastAsia" w:hAnsiTheme="minorEastAsia" w:eastAsiaTheme="minorEastAsia" w:cstheme="minorEastAsia"/>
          <w:sz w:val="24"/>
          <w:szCs w:val="24"/>
        </w:rPr>
        <w:t>项</w:t>
      </w:r>
      <w:r>
        <w:rPr>
          <w:rFonts w:hint="eastAsia" w:asciiTheme="minorEastAsia" w:hAnsiTheme="minorEastAsia" w:eastAsiaTheme="minorEastAsia" w:cstheme="minorEastAsia"/>
          <w:kern w:val="0"/>
          <w:sz w:val="24"/>
          <w:szCs w:val="24"/>
        </w:rPr>
        <w:t>〔总价合同的计量〕</w:t>
      </w:r>
      <w:r>
        <w:rPr>
          <w:rFonts w:hint="eastAsia" w:asciiTheme="minorEastAsia" w:hAnsiTheme="minorEastAsia" w:eastAsiaTheme="minorEastAsia" w:cstheme="minorEastAsia"/>
          <w:sz w:val="24"/>
          <w:szCs w:val="24"/>
        </w:rPr>
        <w:t>约定进行计量：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F76F42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12.3.6 其他价格形式合同的计量</w:t>
      </w:r>
    </w:p>
    <w:p w14:paraId="0690C65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其他价格形式的计量方式和程序：</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25FC11D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 工程进度款支付</w:t>
      </w:r>
    </w:p>
    <w:p w14:paraId="1EF80F8E">
      <w:pPr>
        <w:spacing w:line="360" w:lineRule="auto"/>
        <w:ind w:firstLine="480" w:firstLineChars="200"/>
        <w:jc w:val="left"/>
        <w:rPr>
          <w:rFonts w:asciiTheme="minorEastAsia" w:hAnsiTheme="minorEastAsia" w:eastAsiaTheme="minorEastAsia" w:cstheme="minorEastAsia"/>
          <w:sz w:val="24"/>
          <w:szCs w:val="24"/>
        </w:rPr>
      </w:pPr>
      <w:bookmarkStart w:id="579" w:name="_Toc296503211"/>
      <w:bookmarkStart w:id="580" w:name="_Toc297216215"/>
      <w:bookmarkStart w:id="581" w:name="_Toc296944550"/>
      <w:bookmarkStart w:id="582" w:name="_Toc303539163"/>
      <w:bookmarkStart w:id="583" w:name="_Toc296347210"/>
      <w:bookmarkStart w:id="584" w:name="_Toc297123556"/>
      <w:bookmarkStart w:id="585" w:name="_Toc296891039"/>
      <w:bookmarkStart w:id="586" w:name="_Toc296891251"/>
      <w:bookmarkStart w:id="587" w:name="_Toc297120511"/>
      <w:bookmarkStart w:id="588" w:name="_Toc300935006"/>
      <w:bookmarkStart w:id="589" w:name="_Toc292559416"/>
      <w:bookmarkStart w:id="590" w:name="_Toc292559921"/>
      <w:bookmarkStart w:id="591" w:name="_Toc297048397"/>
      <w:bookmarkStart w:id="592" w:name="_Toc296346712"/>
      <w:r>
        <w:rPr>
          <w:rFonts w:hint="eastAsia" w:asciiTheme="minorEastAsia" w:hAnsiTheme="minorEastAsia" w:eastAsiaTheme="minorEastAsia" w:cstheme="minorEastAsia"/>
          <w:sz w:val="24"/>
          <w:szCs w:val="24"/>
        </w:rPr>
        <w:t>12.4.1 付款周期</w:t>
      </w:r>
    </w:p>
    <w:p w14:paraId="7A8CC6E1">
      <w:pPr>
        <w:spacing w:line="360" w:lineRule="auto"/>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关于付款周期的约定：</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
          <w:bCs/>
          <w:sz w:val="24"/>
          <w:szCs w:val="24"/>
        </w:rPr>
        <w:t>。</w:t>
      </w:r>
    </w:p>
    <w:p w14:paraId="55F0887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12.4.2 进度付款申请单的编制</w:t>
      </w:r>
    </w:p>
    <w:p w14:paraId="10BB6A6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关于进度付款申请单编制的约定：</w:t>
      </w:r>
      <w:r>
        <w:rPr>
          <w:rFonts w:hint="eastAsia" w:asciiTheme="minorEastAsia" w:hAnsiTheme="minorEastAsia" w:eastAsiaTheme="minorEastAsia" w:cstheme="minorEastAsia"/>
          <w:sz w:val="24"/>
          <w:szCs w:val="24"/>
          <w:u w:val="single"/>
        </w:rPr>
        <w:t xml:space="preserve">                                      。</w:t>
      </w:r>
    </w:p>
    <w:p w14:paraId="23744561">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Pr>
          <w:rFonts w:hint="eastAsia" w:asciiTheme="minorEastAsia" w:hAnsiTheme="minorEastAsia" w:eastAsiaTheme="minorEastAsia" w:cstheme="minorEastAsia"/>
          <w:sz w:val="24"/>
          <w:szCs w:val="24"/>
        </w:rPr>
        <w:t>2.4.3 进度付款申请单的提交单价合同进度付款申请单提交的约定：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24E47D51">
      <w:pPr>
        <w:numPr>
          <w:ilvl w:val="0"/>
          <w:numId w:val="5"/>
        </w:num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总价合同进度付款申请单提交的约定：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2FE98D3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（3）其他价格形式合同进度付款申请单提交的约定：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01A151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12.4.4 进度款审核和支付</w:t>
      </w:r>
    </w:p>
    <w:p w14:paraId="190EE074">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（1）监理人审查并报送发包人的期限：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5CE140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发包人完成审批并签发进度款支付证书的期限：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EE7D80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（2）发包人支付进度款的期限：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DF801E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发包人逾期支付进度款的违约金的计算方式：</w:t>
      </w:r>
      <w:r>
        <w:rPr>
          <w:rFonts w:hint="eastAsia" w:asciiTheme="minorEastAsia" w:hAnsiTheme="minorEastAsia" w:eastAsiaTheme="minorEastAsia" w:cstheme="minorEastAsia"/>
          <w:sz w:val="24"/>
          <w:szCs w:val="24"/>
          <w:u w:val="single"/>
        </w:rPr>
        <w:t xml:space="preserve">                     。</w:t>
      </w:r>
    </w:p>
    <w:p w14:paraId="54EEF828">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12.4.6 支付分解表的编制</w:t>
      </w:r>
    </w:p>
    <w:p w14:paraId="1A5C2E6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2、总价合同支付分解表的编制与审批：</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1DC856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3、单价合同的总价项目支付分解表的编制与审批：</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399"/>
    <w:p w14:paraId="06A38854">
      <w:pPr>
        <w:spacing w:line="360" w:lineRule="auto"/>
        <w:ind w:firstLine="480" w:firstLineChars="200"/>
        <w:rPr>
          <w:rFonts w:asciiTheme="minorEastAsia" w:hAnsiTheme="minorEastAsia" w:eastAsiaTheme="minorEastAsia" w:cstheme="minorEastAsia"/>
          <w:sz w:val="24"/>
          <w:szCs w:val="24"/>
        </w:rPr>
      </w:pPr>
      <w:bookmarkStart w:id="593" w:name="_Toc22088"/>
      <w:bookmarkStart w:id="594" w:name="_Toc1809"/>
      <w:bookmarkStart w:id="595" w:name="_Toc11823"/>
      <w:bookmarkStart w:id="596" w:name="_Toc351203645"/>
      <w:bookmarkStart w:id="597" w:name="_Toc3134"/>
      <w:bookmarkStart w:id="598" w:name="_Toc300935015"/>
      <w:bookmarkStart w:id="599" w:name="_Toc296891047"/>
      <w:bookmarkStart w:id="600" w:name="_Toc296503219"/>
      <w:bookmarkStart w:id="601" w:name="_Toc292559424"/>
      <w:bookmarkStart w:id="602" w:name="_Toc296891259"/>
      <w:bookmarkStart w:id="603" w:name="_Toc297216223"/>
      <w:bookmarkStart w:id="604" w:name="_Toc304295593"/>
      <w:bookmarkStart w:id="605" w:name="_Toc292559929"/>
      <w:bookmarkStart w:id="606" w:name="_Toc296347218"/>
      <w:bookmarkStart w:id="607" w:name="_Toc303539172"/>
      <w:bookmarkStart w:id="608" w:name="_Toc296346720"/>
      <w:bookmarkStart w:id="609" w:name="_Toc312678053"/>
      <w:bookmarkStart w:id="610" w:name="_Toc297123564"/>
      <w:bookmarkStart w:id="611" w:name="_Toc296944558"/>
      <w:bookmarkStart w:id="612" w:name="_Toc297120519"/>
      <w:bookmarkStart w:id="613" w:name="_Toc297048405"/>
      <w:r>
        <w:rPr>
          <w:rFonts w:hint="eastAsia" w:asciiTheme="minorEastAsia" w:hAnsiTheme="minorEastAsia" w:eastAsiaTheme="minorEastAsia" w:cstheme="minorEastAsia"/>
          <w:sz w:val="24"/>
          <w:szCs w:val="24"/>
        </w:rPr>
        <w:t>13. 验收和工程试车</w:t>
      </w:r>
      <w:bookmarkEnd w:id="593"/>
      <w:bookmarkEnd w:id="594"/>
      <w:bookmarkEnd w:id="595"/>
      <w:bookmarkEnd w:id="596"/>
      <w:bookmarkEnd w:id="597"/>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14:paraId="589F095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分部分项工程验收</w:t>
      </w:r>
    </w:p>
    <w:p w14:paraId="5B2253A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13.1.2监理人不能按时进行验收时，应提前</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小时提交书面延期要求。</w:t>
      </w:r>
    </w:p>
    <w:p w14:paraId="05190910">
      <w:pPr>
        <w:spacing w:line="360" w:lineRule="auto"/>
        <w:ind w:firstLine="480"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关于延期最长不得超过：</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小时。</w:t>
      </w:r>
    </w:p>
    <w:p w14:paraId="6FA31264">
      <w:pPr>
        <w:spacing w:line="360" w:lineRule="auto"/>
        <w:ind w:firstLine="480" w:firstLineChars="200"/>
        <w:rPr>
          <w:rFonts w:asciiTheme="minorEastAsia" w:hAnsiTheme="minorEastAsia" w:eastAsiaTheme="minorEastAsia" w:cstheme="minorEastAsia"/>
          <w:sz w:val="24"/>
          <w:szCs w:val="24"/>
        </w:rPr>
      </w:pPr>
      <w:bookmarkStart w:id="614" w:name="_Toc296503223"/>
      <w:bookmarkStart w:id="615" w:name="_Toc304295596"/>
      <w:bookmarkStart w:id="616" w:name="_Toc312678056"/>
      <w:bookmarkStart w:id="617" w:name="_Toc297123565"/>
      <w:bookmarkStart w:id="618" w:name="_Toc296346724"/>
      <w:bookmarkStart w:id="619" w:name="_Toc297216224"/>
      <w:bookmarkStart w:id="620" w:name="_Toc296891051"/>
      <w:bookmarkStart w:id="621" w:name="_Toc296891263"/>
      <w:bookmarkStart w:id="622" w:name="_Toc292559428"/>
      <w:bookmarkStart w:id="623" w:name="_Toc296347222"/>
      <w:bookmarkStart w:id="624" w:name="_Toc292559933"/>
      <w:bookmarkStart w:id="625" w:name="_Toc296944562"/>
      <w:bookmarkStart w:id="626" w:name="_Toc303539173"/>
      <w:bookmarkStart w:id="627" w:name="_Toc297048409"/>
      <w:bookmarkStart w:id="628" w:name="_Toc300935016"/>
      <w:bookmarkStart w:id="629" w:name="_Toc297120523"/>
      <w:bookmarkStart w:id="630" w:name="_Toc267251474"/>
      <w:bookmarkStart w:id="631" w:name="_Toc267251471"/>
      <w:bookmarkStart w:id="632" w:name="_Toc267251472"/>
      <w:bookmarkStart w:id="633" w:name="_Toc267251473"/>
      <w:bookmarkStart w:id="634" w:name="_Toc267251470"/>
      <w:bookmarkStart w:id="635" w:name="_Toc267251476"/>
      <w:bookmarkStart w:id="636" w:name="_Toc267251475"/>
      <w:r>
        <w:rPr>
          <w:rFonts w:hint="eastAsia" w:asciiTheme="minorEastAsia" w:hAnsiTheme="minorEastAsia" w:eastAsiaTheme="minorEastAsia" w:cstheme="minorEastAsia"/>
          <w:sz w:val="24"/>
          <w:szCs w:val="24"/>
        </w:rPr>
        <w:t>13.2 竣工验收</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17FAEA1F">
      <w:pPr>
        <w:spacing w:line="360" w:lineRule="auto"/>
        <w:ind w:firstLine="480" w:firstLineChars="200"/>
        <w:jc w:val="left"/>
        <w:rPr>
          <w:rFonts w:asciiTheme="minorEastAsia" w:hAnsiTheme="minorEastAsia" w:eastAsiaTheme="minorEastAsia" w:cstheme="minorEastAsia"/>
          <w:sz w:val="24"/>
          <w:szCs w:val="24"/>
        </w:rPr>
      </w:pPr>
      <w:bookmarkStart w:id="637" w:name="_Toc280868704"/>
      <w:bookmarkStart w:id="638" w:name="_Toc280868705"/>
      <w:bookmarkStart w:id="639" w:name="_Toc280868706"/>
      <w:bookmarkStart w:id="640" w:name="_Toc280868707"/>
      <w:bookmarkStart w:id="641" w:name="_Toc280868708"/>
      <w:bookmarkStart w:id="642" w:name="_Toc280868709"/>
      <w:r>
        <w:rPr>
          <w:rFonts w:hint="eastAsia" w:asciiTheme="minorEastAsia" w:hAnsiTheme="minorEastAsia" w:eastAsiaTheme="minorEastAsia" w:cstheme="minorEastAsia"/>
          <w:sz w:val="24"/>
          <w:szCs w:val="24"/>
        </w:rPr>
        <w:t>13.2.2竣工验收程序</w:t>
      </w:r>
    </w:p>
    <w:bookmarkEnd w:id="637"/>
    <w:p w14:paraId="34AD1D5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关于竣工验收程序的约定：</w:t>
      </w:r>
      <w:r>
        <w:rPr>
          <w:rFonts w:hint="eastAsia" w:asciiTheme="minorEastAsia" w:hAnsiTheme="minorEastAsia" w:eastAsiaTheme="minorEastAsia" w:cstheme="minorEastAsia"/>
          <w:kern w:val="0"/>
          <w:sz w:val="24"/>
          <w:szCs w:val="24"/>
          <w:u w:val="single"/>
        </w:rPr>
        <w:t xml:space="preserve">                                            。</w:t>
      </w:r>
    </w:p>
    <w:p w14:paraId="09A8026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发包人不按照本项约定组织竣工验收、颁发工程接收证书的违约金的计算方法：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bookmarkEnd w:id="638"/>
    <w:p w14:paraId="165703F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13.2.5移交、接收全部与部分工程</w:t>
      </w:r>
    </w:p>
    <w:bookmarkEnd w:id="639"/>
    <w:p w14:paraId="5796E074">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承包人向发包人移交工程的期限：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535E617">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rPr>
        <w:t>发包人未按本合同约定接收全部或部分工程的，违约金的计算方法为：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bookmarkEnd w:id="640"/>
    <w:p w14:paraId="19BF709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承包人未按时移交工程的，违约金的计算方法为：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AFE96F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工程试车</w:t>
      </w:r>
    </w:p>
    <w:bookmarkEnd w:id="641"/>
    <w:p w14:paraId="0129D494">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13.3.1 试车程序</w:t>
      </w:r>
    </w:p>
    <w:p w14:paraId="0A84F2A2">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工程试车内容：</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19EE8C83">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（1）单机无负荷试车费用由</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kern w:val="0"/>
          <w:sz w:val="24"/>
          <w:szCs w:val="24"/>
        </w:rPr>
        <w:t>承担；</w:t>
      </w:r>
    </w:p>
    <w:p w14:paraId="10847B92">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（2）无负荷联动试车费用由</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kern w:val="0"/>
          <w:sz w:val="24"/>
          <w:szCs w:val="24"/>
        </w:rPr>
        <w:t>承担。</w:t>
      </w:r>
    </w:p>
    <w:p w14:paraId="039E4F68">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13.3.3 投料试车</w:t>
      </w:r>
    </w:p>
    <w:p w14:paraId="4BE1D8B0">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关于投料试车相关事项的约定：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72905E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 竣工退场</w:t>
      </w:r>
    </w:p>
    <w:p w14:paraId="414F70C3">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13.6.1 竣工退场</w:t>
      </w:r>
    </w:p>
    <w:p w14:paraId="60340ED8">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rPr>
        <w:t>承包人完成竣工退场的期限：</w:t>
      </w:r>
      <w:r>
        <w:rPr>
          <w:rFonts w:hint="eastAsia" w:asciiTheme="minorEastAsia" w:hAnsiTheme="minorEastAsia" w:eastAsiaTheme="minorEastAsia" w:cstheme="minorEastAsia"/>
          <w:sz w:val="24"/>
          <w:szCs w:val="24"/>
          <w:u w:val="single"/>
        </w:rPr>
        <w:t xml:space="preserve">                                          。</w:t>
      </w:r>
    </w:p>
    <w:p w14:paraId="0A52AFC9">
      <w:pPr>
        <w:spacing w:line="360" w:lineRule="auto"/>
        <w:ind w:firstLine="480" w:firstLineChars="200"/>
        <w:rPr>
          <w:rFonts w:asciiTheme="minorEastAsia" w:hAnsiTheme="minorEastAsia" w:eastAsiaTheme="minorEastAsia" w:cstheme="minorEastAsia"/>
          <w:sz w:val="24"/>
          <w:szCs w:val="24"/>
        </w:rPr>
      </w:pPr>
      <w:bookmarkStart w:id="643" w:name="_Toc351203646"/>
      <w:bookmarkStart w:id="644" w:name="_Toc18457"/>
      <w:bookmarkStart w:id="645" w:name="_Toc3833"/>
      <w:r>
        <w:rPr>
          <w:rFonts w:hint="eastAsia" w:asciiTheme="minorEastAsia" w:hAnsiTheme="minorEastAsia" w:eastAsiaTheme="minorEastAsia" w:cstheme="minorEastAsia"/>
          <w:sz w:val="24"/>
          <w:szCs w:val="24"/>
        </w:rPr>
        <w:t>14. 竣工结算</w:t>
      </w:r>
      <w:bookmarkEnd w:id="643"/>
      <w:bookmarkEnd w:id="644"/>
      <w:bookmarkEnd w:id="645"/>
    </w:p>
    <w:p w14:paraId="6AEE6C4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竣工结算申请</w:t>
      </w:r>
    </w:p>
    <w:p w14:paraId="448BBB1B">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承包人提交竣工结算申请单的期限：</w:t>
      </w:r>
      <w:r>
        <w:rPr>
          <w:rFonts w:hint="eastAsia" w:asciiTheme="minorEastAsia" w:hAnsiTheme="minorEastAsia" w:eastAsiaTheme="minorEastAsia" w:cstheme="minorEastAsia"/>
          <w:sz w:val="24"/>
          <w:szCs w:val="24"/>
          <w:u w:val="single"/>
        </w:rPr>
        <w:t xml:space="preserve">                                   。</w:t>
      </w:r>
    </w:p>
    <w:p w14:paraId="1842624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竣工结算申请单应包括的内容：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D9B25A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竣工结算审核</w:t>
      </w:r>
    </w:p>
    <w:p w14:paraId="6E02325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发包人审批竣工付款申请单的期限：</w:t>
      </w:r>
      <w:r>
        <w:rPr>
          <w:rFonts w:hint="eastAsia" w:asciiTheme="minorEastAsia" w:hAnsiTheme="minorEastAsia" w:eastAsiaTheme="minorEastAsia" w:cstheme="minorEastAsia"/>
          <w:sz w:val="24"/>
          <w:szCs w:val="24"/>
          <w:u w:val="single"/>
        </w:rPr>
        <w:t xml:space="preserve">   /   。</w:t>
      </w:r>
    </w:p>
    <w:p w14:paraId="231243A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发包人完成竣工付款的期限：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48A8EBE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关于竣工付款证书异议部分复核的方式和程序：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5EA596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 最终结清</w:t>
      </w:r>
    </w:p>
    <w:p w14:paraId="5D43F022">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14.4.1 最终结清申请单</w:t>
      </w:r>
    </w:p>
    <w:p w14:paraId="074E9B84">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承包人提交最终结清申请单的份数：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B486E1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承包人提交最终结算申请单的期限：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423A2C5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14.4.2 最终结清证书和支付</w:t>
      </w:r>
    </w:p>
    <w:p w14:paraId="0BFF32F7">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（1）发包人完成最终结清申请单的审批并颁发最终结清证书的期限：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E3E314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（2）发包人完成支付的期限：</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bookmarkEnd w:id="630"/>
    <w:bookmarkEnd w:id="631"/>
    <w:bookmarkEnd w:id="632"/>
    <w:bookmarkEnd w:id="633"/>
    <w:bookmarkEnd w:id="634"/>
    <w:bookmarkEnd w:id="635"/>
    <w:bookmarkEnd w:id="636"/>
    <w:bookmarkEnd w:id="642"/>
    <w:p w14:paraId="74CA169C">
      <w:pPr>
        <w:spacing w:line="360" w:lineRule="auto"/>
        <w:ind w:firstLine="480" w:firstLineChars="200"/>
        <w:jc w:val="left"/>
        <w:rPr>
          <w:rFonts w:asciiTheme="minorEastAsia" w:hAnsiTheme="minorEastAsia" w:eastAsiaTheme="minorEastAsia" w:cstheme="minorEastAsia"/>
          <w:sz w:val="24"/>
          <w:szCs w:val="24"/>
        </w:rPr>
      </w:pPr>
      <w:bookmarkStart w:id="646" w:name="_Toc1726"/>
      <w:bookmarkStart w:id="647" w:name="_Toc351203647"/>
      <w:bookmarkStart w:id="648" w:name="_Toc4372"/>
      <w:bookmarkStart w:id="649" w:name="_Toc267251483"/>
      <w:bookmarkStart w:id="650" w:name="_Toc267251482"/>
      <w:bookmarkStart w:id="651" w:name="_Toc267251484"/>
      <w:bookmarkStart w:id="652" w:name="_Toc267251485"/>
      <w:bookmarkStart w:id="653" w:name="_Toc267251489"/>
      <w:bookmarkStart w:id="654" w:name="_Toc267251490"/>
      <w:bookmarkStart w:id="655" w:name="_Toc267251488"/>
      <w:bookmarkStart w:id="656" w:name="_Toc267251486"/>
      <w:bookmarkStart w:id="657" w:name="_Toc267251492"/>
      <w:bookmarkStart w:id="658" w:name="_Toc267251498"/>
      <w:bookmarkStart w:id="659" w:name="_Toc267251493"/>
      <w:bookmarkStart w:id="660" w:name="_Toc267251503"/>
      <w:bookmarkStart w:id="661" w:name="_Toc267251496"/>
      <w:bookmarkStart w:id="662" w:name="_Toc267251491"/>
      <w:bookmarkStart w:id="663" w:name="_Toc267251499"/>
      <w:bookmarkStart w:id="664" w:name="_Toc267251502"/>
      <w:bookmarkStart w:id="665" w:name="_Toc267251494"/>
      <w:bookmarkStart w:id="666" w:name="_Toc267251497"/>
      <w:bookmarkStart w:id="667" w:name="_Toc267251495"/>
      <w:bookmarkStart w:id="668" w:name="_Toc267251501"/>
      <w:bookmarkStart w:id="669" w:name="_Toc267251506"/>
      <w:bookmarkStart w:id="670" w:name="_Toc267251504"/>
      <w:bookmarkStart w:id="671" w:name="_Toc267251507"/>
      <w:bookmarkStart w:id="672" w:name="_Toc267251508"/>
      <w:bookmarkStart w:id="673" w:name="_Toc267251514"/>
      <w:bookmarkStart w:id="674" w:name="_Toc267251510"/>
      <w:bookmarkStart w:id="675" w:name="_Toc267251513"/>
      <w:bookmarkStart w:id="676" w:name="_Toc267251515"/>
      <w:bookmarkStart w:id="677" w:name="_Toc267251511"/>
      <w:bookmarkStart w:id="678" w:name="_Toc267251509"/>
      <w:r>
        <w:rPr>
          <w:rFonts w:hint="eastAsia" w:asciiTheme="minorEastAsia" w:hAnsiTheme="minorEastAsia" w:eastAsiaTheme="minorEastAsia" w:cstheme="minorEastAsia"/>
          <w:sz w:val="24"/>
          <w:szCs w:val="24"/>
        </w:rPr>
        <w:t>15. 缺陷责任期与保修</w:t>
      </w:r>
      <w:bookmarkEnd w:id="646"/>
      <w:bookmarkEnd w:id="647"/>
      <w:bookmarkEnd w:id="648"/>
    </w:p>
    <w:p w14:paraId="1999DE3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15.2缺陷责任期</w:t>
      </w:r>
      <w:bookmarkEnd w:id="649"/>
    </w:p>
    <w:p w14:paraId="10EB154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缺陷责任期的具体期限：</w:t>
      </w:r>
      <w:r>
        <w:rPr>
          <w:rFonts w:hint="eastAsia" w:asciiTheme="minorEastAsia" w:hAnsiTheme="minorEastAsia" w:eastAsiaTheme="minorEastAsia" w:cstheme="minorEastAsia"/>
          <w:sz w:val="24"/>
          <w:szCs w:val="24"/>
          <w:u w:val="single"/>
        </w:rPr>
        <w:t xml:space="preserve">                                               。</w:t>
      </w:r>
    </w:p>
    <w:p w14:paraId="31F9393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质量保证金</w:t>
      </w:r>
    </w:p>
    <w:p w14:paraId="34EEE5E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关于是否扣留质量保证金的约定：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9602B8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15.3.1 承包人提供质量保证金的方式</w:t>
      </w:r>
    </w:p>
    <w:p w14:paraId="2935FB0E">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质量保证金采用以下</w:t>
      </w:r>
      <w:r>
        <w:rPr>
          <w:rFonts w:hint="eastAsia" w:asciiTheme="minorEastAsia" w:hAnsiTheme="minorEastAsia" w:eastAsiaTheme="minorEastAsia" w:cstheme="minorEastAsia"/>
          <w:kern w:val="0"/>
          <w:sz w:val="24"/>
          <w:szCs w:val="24"/>
          <w:u w:val="single"/>
        </w:rPr>
        <w:t>第（1）或第（2）</w:t>
      </w:r>
      <w:r>
        <w:rPr>
          <w:rFonts w:hint="eastAsia" w:asciiTheme="minorEastAsia" w:hAnsiTheme="minorEastAsia" w:eastAsiaTheme="minorEastAsia" w:cstheme="minorEastAsia"/>
          <w:kern w:val="0"/>
          <w:sz w:val="24"/>
          <w:szCs w:val="24"/>
        </w:rPr>
        <w:t>种方式：</w:t>
      </w:r>
    </w:p>
    <w:p w14:paraId="351258F9">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（1）质量保证金保函，保证金额为：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 xml:space="preserve"> </w:t>
      </w:r>
    </w:p>
    <w:p w14:paraId="2052D986">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的工程款；</w:t>
      </w:r>
    </w:p>
    <w:p w14:paraId="5578CE0D">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（3）其他方式:</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0420D14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15.3.2 质量保证金的扣留 </w:t>
      </w:r>
    </w:p>
    <w:p w14:paraId="0A7434B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质量保证金的扣留采取以下第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种方式：</w:t>
      </w:r>
    </w:p>
    <w:p w14:paraId="61CE4FDC">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（1）在支付工程进度款时逐次扣留，在此情形下，质量保证金的计算基数不包括预付款的支付、扣回以及价格调整的金额；</w:t>
      </w:r>
    </w:p>
    <w:p w14:paraId="78409F37">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（2）工程竣工结算时一次性扣留质量保证金；</w:t>
      </w:r>
    </w:p>
    <w:p w14:paraId="7AB50C80">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（3）其他扣留方式:</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69998D48">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关于质量保证金的补充约定：</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bookmarkEnd w:id="650"/>
    <w:bookmarkEnd w:id="651"/>
    <w:p w14:paraId="4C2C3A7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15.4保修</w:t>
      </w:r>
    </w:p>
    <w:bookmarkEnd w:id="652"/>
    <w:p w14:paraId="232BBC6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15.4.1 保修责任</w:t>
      </w:r>
    </w:p>
    <w:p w14:paraId="0F936130">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工程保修期为：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668ED61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15.4.3 修复通知</w:t>
      </w:r>
    </w:p>
    <w:p w14:paraId="5E436306">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承包人收到保修通知并到达工程现场的合理时间：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bookmarkEnd w:id="653"/>
    <w:bookmarkEnd w:id="654"/>
    <w:bookmarkEnd w:id="655"/>
    <w:bookmarkEnd w:id="656"/>
    <w:p w14:paraId="01A99470">
      <w:pPr>
        <w:spacing w:line="360" w:lineRule="auto"/>
        <w:ind w:firstLine="480" w:firstLineChars="200"/>
        <w:jc w:val="left"/>
        <w:rPr>
          <w:rFonts w:asciiTheme="minorEastAsia" w:hAnsiTheme="minorEastAsia" w:eastAsiaTheme="minorEastAsia" w:cstheme="minorEastAsia"/>
          <w:sz w:val="24"/>
          <w:szCs w:val="24"/>
        </w:rPr>
      </w:pPr>
      <w:bookmarkStart w:id="679" w:name="_Toc15318"/>
      <w:bookmarkStart w:id="680" w:name="_Toc10093"/>
      <w:bookmarkStart w:id="681" w:name="_Toc351203648"/>
      <w:bookmarkStart w:id="682" w:name="_Toc280868717"/>
      <w:bookmarkStart w:id="683" w:name="_Toc280868718"/>
      <w:r>
        <w:rPr>
          <w:rFonts w:hint="eastAsia" w:asciiTheme="minorEastAsia" w:hAnsiTheme="minorEastAsia" w:eastAsiaTheme="minorEastAsia" w:cstheme="minorEastAsia"/>
          <w:sz w:val="24"/>
          <w:szCs w:val="24"/>
        </w:rPr>
        <w:t>16. 违约</w:t>
      </w:r>
      <w:bookmarkEnd w:id="679"/>
      <w:bookmarkEnd w:id="680"/>
      <w:bookmarkEnd w:id="681"/>
    </w:p>
    <w:p w14:paraId="2D36FD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发包人违约</w:t>
      </w:r>
    </w:p>
    <w:p w14:paraId="3C86069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16.1.1发包人违约的情形</w:t>
      </w:r>
    </w:p>
    <w:p w14:paraId="59ED355C">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发包人违约的其他情形：</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7C64E1B0">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16.1.2 发包人违约的责任</w:t>
      </w:r>
    </w:p>
    <w:p w14:paraId="41DF43A2">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发包人违约责任的承担方式和计算方法：</w:t>
      </w:r>
    </w:p>
    <w:p w14:paraId="763547DB">
      <w:pPr>
        <w:spacing w:line="360" w:lineRule="auto"/>
        <w:ind w:firstLine="480" w:firstLineChars="200"/>
        <w:jc w:val="left"/>
        <w:rPr>
          <w:rFonts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（1）因发包人原因未能在计划开工日期前7天内下达开工通知的违约责任：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59AFA0F6">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（2）因发包人原因未能按合同约定支付合同价款的违约责任：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32C4BD4E">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（3）发包人违反第10.1款〔变更的范围〕第（2）项约定，自行实施被取消的工作或转由他人实施的违约责任：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5E81BFD2">
      <w:pPr>
        <w:spacing w:line="360" w:lineRule="auto"/>
        <w:ind w:firstLine="480" w:firstLineChars="200"/>
        <w:jc w:val="left"/>
        <w:rPr>
          <w:rFonts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kern w:val="0"/>
          <w:sz w:val="24"/>
          <w:szCs w:val="24"/>
          <w:u w:val="single"/>
        </w:rPr>
        <w:t xml:space="preserve">             。</w:t>
      </w:r>
    </w:p>
    <w:p w14:paraId="0874898B">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（5）因发包人违反合同约定造成暂停施工的违约责任：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5A806F0F">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（6）发包人无正当理由没有在约定期限内发出复工指示，导致承包人无法复工的违约责任：</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49AB2437">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（7）其他：</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4B6328C3">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16.1.3 因发包人违约解除合同</w:t>
      </w:r>
    </w:p>
    <w:p w14:paraId="0DB84570">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承包人按16.1.1项〔发包人违约的情形〕约定暂停施工满</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天后发包人仍不纠正其违约行为并致使合同目的不能实现的，承包人有权解除合同。</w:t>
      </w:r>
    </w:p>
    <w:p w14:paraId="5FEEB26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承包人违约</w:t>
      </w:r>
    </w:p>
    <w:p w14:paraId="1B52B1A0">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16.2.1 承包人违约的情形</w:t>
      </w:r>
    </w:p>
    <w:p w14:paraId="15E53F9A">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承包人违约的其他情形：</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03DEDAAD">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16.2.2承包人违约的责任</w:t>
      </w:r>
    </w:p>
    <w:p w14:paraId="337AF880">
      <w:pPr>
        <w:spacing w:line="360" w:lineRule="auto"/>
        <w:ind w:firstLine="480" w:firstLineChars="200"/>
        <w:rPr>
          <w:rFonts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承包人违约责任的承担方式和计算方法：</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346C63FC">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16.2.3 因承包人违约解除合同</w:t>
      </w:r>
    </w:p>
    <w:p w14:paraId="105D2DA6">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关于承包人违约解除合同的特别约定：</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042D1626">
      <w:pPr>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130699EA">
      <w:pPr>
        <w:spacing w:line="360" w:lineRule="auto"/>
        <w:ind w:firstLine="480" w:firstLineChars="200"/>
        <w:jc w:val="left"/>
        <w:rPr>
          <w:rFonts w:asciiTheme="minorEastAsia" w:hAnsiTheme="minorEastAsia" w:eastAsiaTheme="minorEastAsia" w:cstheme="minorEastAsia"/>
          <w:sz w:val="24"/>
          <w:szCs w:val="24"/>
        </w:rPr>
      </w:pPr>
      <w:bookmarkStart w:id="684" w:name="_Toc7095"/>
      <w:bookmarkStart w:id="685" w:name="_Toc387"/>
      <w:bookmarkStart w:id="686" w:name="_Toc351203649"/>
      <w:r>
        <w:rPr>
          <w:rFonts w:hint="eastAsia" w:asciiTheme="minorEastAsia" w:hAnsiTheme="minorEastAsia" w:eastAsiaTheme="minorEastAsia" w:cstheme="minorEastAsia"/>
          <w:sz w:val="24"/>
          <w:szCs w:val="24"/>
        </w:rPr>
        <w:t>17. 不可抗力</w:t>
      </w:r>
      <w:bookmarkEnd w:id="684"/>
      <w:bookmarkEnd w:id="685"/>
      <w:bookmarkEnd w:id="686"/>
      <w:r>
        <w:rPr>
          <w:rFonts w:hint="eastAsia" w:asciiTheme="minorEastAsia" w:hAnsiTheme="minorEastAsia" w:eastAsiaTheme="minorEastAsia" w:cstheme="minorEastAsia"/>
          <w:sz w:val="24"/>
          <w:szCs w:val="24"/>
        </w:rPr>
        <w:t xml:space="preserve"> </w:t>
      </w:r>
      <w:bookmarkEnd w:id="682"/>
    </w:p>
    <w:p w14:paraId="32B03AA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不可抗力的确认</w:t>
      </w:r>
    </w:p>
    <w:p w14:paraId="66CEC8E8">
      <w:pPr>
        <w:spacing w:line="360" w:lineRule="auto"/>
        <w:ind w:firstLine="480" w:firstLineChars="200"/>
        <w:jc w:val="left"/>
        <w:rPr>
          <w:rFonts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 xml:space="preserve">除通用合同条款约定的不可抗力事件之外，视为不可抗力的其他情形：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7370E6A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 因不可抗力解除合同</w:t>
      </w:r>
    </w:p>
    <w:p w14:paraId="5FD6EF0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合同解除后，发包人应在商定或确定发包人应支付款项后</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天内完成款项的支付。</w:t>
      </w:r>
    </w:p>
    <w:p w14:paraId="5F81E46A">
      <w:pPr>
        <w:spacing w:line="360" w:lineRule="auto"/>
        <w:ind w:firstLine="480" w:firstLineChars="200"/>
        <w:jc w:val="left"/>
        <w:rPr>
          <w:rFonts w:asciiTheme="minorEastAsia" w:hAnsiTheme="minorEastAsia" w:eastAsiaTheme="minorEastAsia" w:cstheme="minorEastAsia"/>
          <w:sz w:val="24"/>
          <w:szCs w:val="24"/>
        </w:rPr>
      </w:pPr>
      <w:bookmarkStart w:id="687" w:name="_Toc14153"/>
      <w:bookmarkStart w:id="688" w:name="_Toc351203650"/>
      <w:bookmarkStart w:id="689" w:name="_Toc4875"/>
      <w:r>
        <w:rPr>
          <w:rFonts w:hint="eastAsia" w:asciiTheme="minorEastAsia" w:hAnsiTheme="minorEastAsia" w:eastAsiaTheme="minorEastAsia" w:cstheme="minorEastAsia"/>
          <w:sz w:val="24"/>
          <w:szCs w:val="24"/>
        </w:rPr>
        <w:t>18. 保险</w:t>
      </w:r>
      <w:bookmarkEnd w:id="687"/>
      <w:bookmarkEnd w:id="688"/>
      <w:bookmarkEnd w:id="689"/>
    </w:p>
    <w:bookmarkEnd w:id="683"/>
    <w:p w14:paraId="4E7763A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 工程保险</w:t>
      </w:r>
    </w:p>
    <w:p w14:paraId="64B21DF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关于工程保险的特别约定：</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0E460C6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 其他保险</w:t>
      </w:r>
    </w:p>
    <w:p w14:paraId="36863076">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关于其他保险的约定：</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p w14:paraId="29F34FEC">
      <w:pPr>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承包人是否应为其施工设备等办理财产保险：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E320A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18.7 通知义务</w:t>
      </w:r>
    </w:p>
    <w:p w14:paraId="2EA12E0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关于变更保险合同时的通知义务的约定：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596948D">
      <w:pPr>
        <w:spacing w:line="360" w:lineRule="auto"/>
        <w:ind w:firstLine="480" w:firstLineChars="200"/>
        <w:jc w:val="left"/>
        <w:rPr>
          <w:rFonts w:asciiTheme="minorEastAsia" w:hAnsiTheme="minorEastAsia" w:eastAsiaTheme="minorEastAsia" w:cstheme="minorEastAsia"/>
          <w:sz w:val="24"/>
          <w:szCs w:val="24"/>
        </w:rPr>
      </w:pPr>
      <w:bookmarkStart w:id="690" w:name="_Toc17014"/>
      <w:bookmarkStart w:id="691" w:name="_Toc351203620"/>
      <w:bookmarkStart w:id="692" w:name="_Toc24561"/>
      <w:bookmarkStart w:id="693" w:name="_Toc337558835"/>
      <w:bookmarkStart w:id="694" w:name="_Toc296503140"/>
      <w:bookmarkStart w:id="695" w:name="_Toc296346641"/>
      <w:r>
        <w:rPr>
          <w:rFonts w:hint="eastAsia" w:asciiTheme="minorEastAsia" w:hAnsiTheme="minorEastAsia" w:eastAsiaTheme="minorEastAsia" w:cstheme="minorEastAsia"/>
          <w:sz w:val="24"/>
          <w:szCs w:val="24"/>
        </w:rPr>
        <w:t>19. 索赔</w:t>
      </w:r>
      <w:bookmarkEnd w:id="690"/>
      <w:bookmarkEnd w:id="691"/>
      <w:bookmarkEnd w:id="692"/>
    </w:p>
    <w:bookmarkEnd w:id="693"/>
    <w:bookmarkEnd w:id="694"/>
    <w:bookmarkEnd w:id="695"/>
    <w:p w14:paraId="4C47B30C">
      <w:pPr>
        <w:spacing w:line="360" w:lineRule="auto"/>
        <w:ind w:firstLine="480" w:firstLineChars="200"/>
        <w:jc w:val="left"/>
        <w:rPr>
          <w:rFonts w:asciiTheme="minorEastAsia" w:hAnsiTheme="minorEastAsia" w:eastAsiaTheme="minorEastAsia" w:cstheme="minorEastAsia"/>
          <w:sz w:val="24"/>
          <w:szCs w:val="24"/>
        </w:rPr>
      </w:pPr>
      <w:bookmarkStart w:id="696" w:name="_Toc351203621"/>
      <w:bookmarkStart w:id="697" w:name="_Toc337558836"/>
      <w:bookmarkStart w:id="698" w:name="_Toc296346642"/>
      <w:bookmarkStart w:id="699" w:name="_Toc296503141"/>
      <w:r>
        <w:rPr>
          <w:rFonts w:hint="eastAsia" w:asciiTheme="minorEastAsia" w:hAnsiTheme="minorEastAsia" w:eastAsiaTheme="minorEastAsia" w:cstheme="minorEastAsia"/>
          <w:sz w:val="24"/>
          <w:szCs w:val="24"/>
        </w:rPr>
        <w:t>19.1承包人的索赔</w:t>
      </w:r>
      <w:bookmarkEnd w:id="696"/>
    </w:p>
    <w:bookmarkEnd w:id="697"/>
    <w:bookmarkEnd w:id="698"/>
    <w:bookmarkEnd w:id="699"/>
    <w:p w14:paraId="02AC2B9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根据合同约定，承包人认为有权得到追加付款和（或）延长工期的，应按以下程序向发包人提出索赔：</w:t>
      </w:r>
    </w:p>
    <w:p w14:paraId="60AC8BF0">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3B589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（2）承包人应在发出索赔意向通知书后28天内，向监理人正式递交索赔报告；索赔报告应详细说明索赔理由以及要求追加的付款金额和（或）延长的工期，并附必要的记录和证明材料；</w:t>
      </w:r>
    </w:p>
    <w:p w14:paraId="3F8C3BA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（3）索赔事件具有持续影响的，承包人应按合理时间间隔继续递交延续索赔通知，说明持续影响的实际情况和记录，列出累计的追加付款金额和（或）工期延长天数；</w:t>
      </w:r>
    </w:p>
    <w:p w14:paraId="06BEB48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（4）在索赔事件影响结束后28天内，承包人应向监理人递交最终索赔报告，说明最终要求索赔的追加付款金额和（或）延长的工期，并附必要的记录和证明材料。</w:t>
      </w:r>
    </w:p>
    <w:p w14:paraId="4BC5FAB7">
      <w:pPr>
        <w:spacing w:line="360" w:lineRule="auto"/>
        <w:ind w:firstLine="480" w:firstLineChars="200"/>
        <w:jc w:val="left"/>
        <w:rPr>
          <w:rFonts w:asciiTheme="minorEastAsia" w:hAnsiTheme="minorEastAsia" w:eastAsiaTheme="minorEastAsia" w:cstheme="minorEastAsia"/>
          <w:sz w:val="24"/>
          <w:szCs w:val="24"/>
        </w:rPr>
      </w:pPr>
      <w:bookmarkStart w:id="700" w:name="_Toc351203622"/>
      <w:bookmarkStart w:id="701" w:name="_Toc337558837"/>
      <w:bookmarkStart w:id="702" w:name="_Toc296503142"/>
      <w:bookmarkStart w:id="703" w:name="_Toc296346643"/>
      <w:r>
        <w:rPr>
          <w:rFonts w:hint="eastAsia" w:asciiTheme="minorEastAsia" w:hAnsiTheme="minorEastAsia" w:eastAsiaTheme="minorEastAsia" w:cstheme="minorEastAsia"/>
          <w:sz w:val="24"/>
          <w:szCs w:val="24"/>
        </w:rPr>
        <w:t>19.2 对承包人索赔的处理</w:t>
      </w:r>
      <w:bookmarkEnd w:id="700"/>
    </w:p>
    <w:bookmarkEnd w:id="701"/>
    <w:bookmarkEnd w:id="702"/>
    <w:bookmarkEnd w:id="703"/>
    <w:p w14:paraId="7A236A4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对承包人索赔的处理如下：</w:t>
      </w:r>
    </w:p>
    <w:p w14:paraId="1E10F55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（1）监理人应在收到索赔报告后14天内完成审查并报送发包人。监理人对索赔报告存在异议的，有权要求承包人提交全部原始记录副本；</w:t>
      </w:r>
    </w:p>
    <w:p w14:paraId="0B0BAE1D">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7CB84B9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（3）承包人接受索赔处理结果的，索赔款项在当期进度款中进行支付；承包人不接受索赔处理结果的，按照第20条〔争议解决〕约定处理。</w:t>
      </w:r>
    </w:p>
    <w:p w14:paraId="46DF2C7B">
      <w:pPr>
        <w:spacing w:line="360" w:lineRule="auto"/>
        <w:ind w:firstLine="480" w:firstLineChars="200"/>
        <w:jc w:val="left"/>
        <w:rPr>
          <w:rFonts w:asciiTheme="minorEastAsia" w:hAnsiTheme="minorEastAsia" w:eastAsiaTheme="minorEastAsia" w:cstheme="minorEastAsia"/>
          <w:sz w:val="24"/>
          <w:szCs w:val="24"/>
        </w:rPr>
      </w:pPr>
      <w:bookmarkStart w:id="704" w:name="_Toc351203623"/>
      <w:bookmarkStart w:id="705" w:name="_Toc296346644"/>
      <w:bookmarkStart w:id="706" w:name="_Toc296503143"/>
      <w:bookmarkStart w:id="707" w:name="_Toc337558838"/>
      <w:r>
        <w:rPr>
          <w:rFonts w:hint="eastAsia" w:asciiTheme="minorEastAsia" w:hAnsiTheme="minorEastAsia" w:eastAsiaTheme="minorEastAsia" w:cstheme="minorEastAsia"/>
          <w:sz w:val="24"/>
          <w:szCs w:val="24"/>
        </w:rPr>
        <w:t>19.3发包人的索赔</w:t>
      </w:r>
      <w:bookmarkEnd w:id="704"/>
    </w:p>
    <w:bookmarkEnd w:id="705"/>
    <w:bookmarkEnd w:id="706"/>
    <w:bookmarkEnd w:id="707"/>
    <w:p w14:paraId="54BB8C3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根据合同约定，发包人认为有权得到赔付金额和（或）延长缺陷责任期的，监理人应向承包人发出通知并附有详细的证明。</w:t>
      </w:r>
    </w:p>
    <w:p w14:paraId="03000A4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A4EDB91">
      <w:pPr>
        <w:spacing w:line="360" w:lineRule="auto"/>
        <w:ind w:firstLine="480" w:firstLineChars="200"/>
        <w:jc w:val="left"/>
        <w:rPr>
          <w:rFonts w:asciiTheme="minorEastAsia" w:hAnsiTheme="minorEastAsia" w:eastAsiaTheme="minorEastAsia" w:cstheme="minorEastAsia"/>
          <w:sz w:val="24"/>
          <w:szCs w:val="24"/>
        </w:rPr>
      </w:pPr>
      <w:bookmarkStart w:id="708" w:name="_Toc351203624"/>
      <w:bookmarkStart w:id="709" w:name="_Toc296346645"/>
      <w:bookmarkStart w:id="710" w:name="_Toc337558839"/>
      <w:bookmarkStart w:id="711" w:name="_Toc296503144"/>
      <w:r>
        <w:rPr>
          <w:rFonts w:hint="eastAsia" w:asciiTheme="minorEastAsia" w:hAnsiTheme="minorEastAsia" w:eastAsiaTheme="minorEastAsia" w:cstheme="minorEastAsia"/>
          <w:sz w:val="24"/>
          <w:szCs w:val="24"/>
        </w:rPr>
        <w:t>19.4 对发包人索赔的处理</w:t>
      </w:r>
      <w:bookmarkEnd w:id="708"/>
    </w:p>
    <w:bookmarkEnd w:id="709"/>
    <w:bookmarkEnd w:id="710"/>
    <w:bookmarkEnd w:id="711"/>
    <w:p w14:paraId="6415BFC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对发包人索赔的处理如下：</w:t>
      </w:r>
    </w:p>
    <w:p w14:paraId="2406FD9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（1）承包人收到发包人提交的索赔报告后，应及时审查索赔报告的内容、查验发包人证明材料；</w:t>
      </w:r>
    </w:p>
    <w:p w14:paraId="0BE3BC7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（2）承包人应在收到索赔报告或有关索赔的进一步证明材料后28天内，将索赔处理结果答复发包人。如果承包人未在上述期限内作出答复的，则视为对发包人索赔要求的认可；</w:t>
      </w:r>
    </w:p>
    <w:p w14:paraId="68336BB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（3）承包人接受索赔处理结果的，发包人可从应支付给承包人的合同价款中扣除赔付的金额或延长缺陷责任期；发包人不接受索赔处理结果的，按第20条〔争议解决〕约定处理。</w:t>
      </w:r>
    </w:p>
    <w:p w14:paraId="4CC8203F">
      <w:pPr>
        <w:spacing w:line="360" w:lineRule="auto"/>
        <w:ind w:firstLine="480" w:firstLineChars="200"/>
        <w:jc w:val="left"/>
        <w:rPr>
          <w:rFonts w:asciiTheme="minorEastAsia" w:hAnsiTheme="minorEastAsia" w:eastAsiaTheme="minorEastAsia" w:cstheme="minorEastAsia"/>
          <w:sz w:val="24"/>
          <w:szCs w:val="24"/>
        </w:rPr>
      </w:pPr>
      <w:bookmarkStart w:id="712" w:name="_Toc351203625"/>
      <w:r>
        <w:rPr>
          <w:rFonts w:hint="eastAsia" w:asciiTheme="minorEastAsia" w:hAnsiTheme="minorEastAsia" w:eastAsiaTheme="minorEastAsia" w:cstheme="minorEastAsia"/>
          <w:sz w:val="24"/>
          <w:szCs w:val="24"/>
        </w:rPr>
        <w:t>19.5 提出索赔的期限</w:t>
      </w:r>
      <w:bookmarkEnd w:id="712"/>
    </w:p>
    <w:p w14:paraId="515DA93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（1）承包人按第14.2款〔竣工结算审核〕约定接收竣工付款证书后，应被视为已无权再提出在工程接收证书颁发前所发生的任何索赔。</w:t>
      </w:r>
    </w:p>
    <w:p w14:paraId="043E5E9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（2）承包人按第14.4款〔最终结清〕提交的最终结清申请单中，只限于提出工程接收证书颁发后发生的索赔。提出索赔的期限自接受最终结清证书时终止。</w:t>
      </w:r>
    </w:p>
    <w:bookmarkEnd w:id="657"/>
    <w:bookmarkEnd w:id="658"/>
    <w:bookmarkEnd w:id="659"/>
    <w:bookmarkEnd w:id="660"/>
    <w:bookmarkEnd w:id="661"/>
    <w:bookmarkEnd w:id="662"/>
    <w:bookmarkEnd w:id="663"/>
    <w:bookmarkEnd w:id="664"/>
    <w:bookmarkEnd w:id="665"/>
    <w:bookmarkEnd w:id="666"/>
    <w:bookmarkEnd w:id="667"/>
    <w:bookmarkEnd w:id="668"/>
    <w:p w14:paraId="0CA9A0CB">
      <w:pPr>
        <w:spacing w:line="360" w:lineRule="auto"/>
        <w:ind w:firstLine="480" w:firstLineChars="200"/>
        <w:jc w:val="left"/>
        <w:rPr>
          <w:rFonts w:asciiTheme="minorEastAsia" w:hAnsiTheme="minorEastAsia" w:eastAsiaTheme="minorEastAsia" w:cstheme="minorEastAsia"/>
          <w:sz w:val="24"/>
          <w:szCs w:val="24"/>
        </w:rPr>
      </w:pPr>
      <w:bookmarkStart w:id="713" w:name="_Toc1494"/>
      <w:bookmarkStart w:id="714" w:name="_Toc9501"/>
      <w:bookmarkStart w:id="715" w:name="_Toc351203651"/>
      <w:r>
        <w:rPr>
          <w:rFonts w:hint="eastAsia" w:asciiTheme="minorEastAsia" w:hAnsiTheme="minorEastAsia" w:eastAsiaTheme="minorEastAsia" w:cstheme="minorEastAsia"/>
          <w:sz w:val="24"/>
          <w:szCs w:val="24"/>
        </w:rPr>
        <w:t>20. 争议解决</w:t>
      </w:r>
      <w:bookmarkEnd w:id="713"/>
      <w:bookmarkEnd w:id="714"/>
      <w:bookmarkEnd w:id="715"/>
    </w:p>
    <w:bookmarkEnd w:id="669"/>
    <w:bookmarkEnd w:id="670"/>
    <w:p w14:paraId="2A4DC7B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 争</w:t>
      </w:r>
      <w:bookmarkEnd w:id="671"/>
      <w:r>
        <w:rPr>
          <w:rFonts w:hint="eastAsia" w:asciiTheme="minorEastAsia" w:hAnsiTheme="minorEastAsia" w:eastAsiaTheme="minorEastAsia" w:cstheme="minorEastAsia"/>
          <w:sz w:val="24"/>
          <w:szCs w:val="24"/>
        </w:rPr>
        <w:t>议评审</w:t>
      </w:r>
    </w:p>
    <w:p w14:paraId="684E6E84">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合同当事人是否同意将工程争议提交争议评审小组决定：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016960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20.3.1 争议评审小组的确定</w:t>
      </w:r>
    </w:p>
    <w:p w14:paraId="3C3584B1">
      <w:pPr>
        <w:spacing w:line="360" w:lineRule="auto"/>
        <w:ind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争议评审小组成员的确定：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6F7E12B">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选定争议评审员的期限：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EAEC54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争议评审小组成员的报酬承担方式：</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9F1DE29">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1AD637E">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20.3.2 争议评审小组的决定</w:t>
      </w:r>
    </w:p>
    <w:p w14:paraId="57F25AB1">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合同当事人关于本项的约定：</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AAE4BB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20.4仲裁或诉讼</w:t>
      </w:r>
      <w:bookmarkEnd w:id="672"/>
    </w:p>
    <w:p w14:paraId="068C8FD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因合同及合同有关事项发生的争议，按下列第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种方式解决：</w:t>
      </w:r>
    </w:p>
    <w:p w14:paraId="508FABE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仲裁委员会申请仲裁；</w:t>
      </w:r>
    </w:p>
    <w:p w14:paraId="3E73A65E">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w:t>
      </w:r>
      <w:r>
        <w:rPr>
          <w:rFonts w:hint="eastAsia" w:asciiTheme="minorEastAsia" w:hAnsiTheme="minorEastAsia" w:eastAsiaTheme="minorEastAsia" w:cstheme="minorEastAsia"/>
          <w:sz w:val="24"/>
          <w:szCs w:val="24"/>
          <w:u w:val="single"/>
        </w:rPr>
        <w:t xml:space="preserve">   合同签订地   </w:t>
      </w:r>
      <w:r>
        <w:rPr>
          <w:rFonts w:hint="eastAsia" w:asciiTheme="minorEastAsia" w:hAnsiTheme="minorEastAsia" w:eastAsiaTheme="minorEastAsia" w:cstheme="minorEastAsia"/>
          <w:sz w:val="24"/>
          <w:szCs w:val="24"/>
        </w:rPr>
        <w:t>人民法院起诉。</w:t>
      </w:r>
      <w:bookmarkEnd w:id="673"/>
      <w:bookmarkEnd w:id="674"/>
      <w:bookmarkEnd w:id="675"/>
      <w:bookmarkEnd w:id="676"/>
      <w:bookmarkEnd w:id="677"/>
      <w:bookmarkEnd w:id="678"/>
    </w:p>
    <w:p w14:paraId="51C5AD6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20.5补充条款</w:t>
      </w:r>
    </w:p>
    <w:p w14:paraId="3061B7C2">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p>
    <w:p w14:paraId="703070B6">
      <w:pPr>
        <w:spacing w:line="360" w:lineRule="auto"/>
        <w:ind w:firstLine="280" w:firstLineChars="1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br w:type="page"/>
      </w:r>
    </w:p>
    <w:p w14:paraId="447A2335">
      <w:pPr>
        <w:pStyle w:val="2"/>
        <w:numPr>
          <w:ilvl w:val="0"/>
          <w:numId w:val="0"/>
        </w:numPr>
      </w:pPr>
      <w:bookmarkStart w:id="716" w:name="_Toc19493"/>
      <w:bookmarkStart w:id="717" w:name="_Toc953"/>
      <w:r>
        <w:rPr>
          <w:rFonts w:hint="eastAsia"/>
        </w:rPr>
        <w:t>第五章  工程量清单</w:t>
      </w:r>
      <w:bookmarkEnd w:id="716"/>
      <w:bookmarkEnd w:id="717"/>
    </w:p>
    <w:p w14:paraId="06EEED01">
      <w:pPr>
        <w:jc w:val="center"/>
        <w:rPr>
          <w:rFonts w:ascii="楷体" w:hAnsi="楷体" w:eastAsia="楷体" w:cs="楷体"/>
        </w:rPr>
      </w:pPr>
      <w:bookmarkStart w:id="718" w:name="_Toc16018"/>
    </w:p>
    <w:p w14:paraId="4702D473">
      <w:pPr>
        <w:jc w:val="center"/>
        <w:rPr>
          <w:rFonts w:ascii="楷体" w:hAnsi="楷体" w:eastAsia="楷体" w:cs="楷体"/>
          <w:sz w:val="28"/>
          <w:szCs w:val="28"/>
        </w:rPr>
      </w:pPr>
      <w:r>
        <w:rPr>
          <w:rFonts w:hint="eastAsia" w:asciiTheme="minorEastAsia" w:hAnsiTheme="minorEastAsia" w:eastAsiaTheme="minorEastAsia" w:cstheme="minorEastAsia"/>
          <w:sz w:val="24"/>
          <w:szCs w:val="24"/>
        </w:rPr>
        <w:t>另附</w:t>
      </w:r>
    </w:p>
    <w:p w14:paraId="2A21B91C">
      <w:pPr>
        <w:jc w:val="center"/>
        <w:rPr>
          <w:rFonts w:ascii="楷体" w:hAnsi="楷体" w:eastAsia="楷体" w:cs="楷体"/>
        </w:rPr>
      </w:pPr>
    </w:p>
    <w:p w14:paraId="2DEC5BD1">
      <w:pPr>
        <w:jc w:val="center"/>
        <w:rPr>
          <w:rFonts w:ascii="楷体" w:hAnsi="楷体" w:eastAsia="楷体" w:cs="楷体"/>
        </w:rPr>
      </w:pPr>
      <w:r>
        <w:rPr>
          <w:rFonts w:hint="eastAsia" w:ascii="楷体" w:hAnsi="楷体" w:eastAsia="楷体" w:cs="楷体"/>
        </w:rPr>
        <w:br w:type="page"/>
      </w:r>
    </w:p>
    <w:p w14:paraId="6E560C6E">
      <w:pPr>
        <w:pStyle w:val="2"/>
        <w:numPr>
          <w:ilvl w:val="0"/>
          <w:numId w:val="0"/>
        </w:numPr>
        <w:rPr>
          <w:rFonts w:ascii="楷体" w:hAnsi="楷体" w:eastAsia="楷体" w:cs="楷体"/>
          <w:bCs/>
          <w:sz w:val="32"/>
          <w:szCs w:val="32"/>
        </w:rPr>
      </w:pPr>
      <w:bookmarkStart w:id="719" w:name="_Toc11611"/>
      <w:r>
        <w:rPr>
          <w:rFonts w:hint="eastAsia"/>
        </w:rPr>
        <w:t>第六章  图纸</w:t>
      </w:r>
      <w:bookmarkEnd w:id="719"/>
    </w:p>
    <w:bookmarkEnd w:id="75"/>
    <w:bookmarkEnd w:id="76"/>
    <w:bookmarkEnd w:id="77"/>
    <w:bookmarkEnd w:id="718"/>
    <w:p w14:paraId="24663A9E">
      <w:pPr>
        <w:pStyle w:val="4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另附</w:t>
      </w:r>
    </w:p>
    <w:p w14:paraId="0BB1F6D2">
      <w:pPr>
        <w:spacing w:line="440" w:lineRule="exact"/>
        <w:rPr>
          <w:rFonts w:ascii="楷体" w:hAnsi="楷体" w:eastAsia="楷体" w:cs="楷体"/>
          <w:b/>
          <w:bCs/>
          <w:sz w:val="32"/>
          <w:szCs w:val="32"/>
        </w:rPr>
      </w:pPr>
      <w:bookmarkStart w:id="720" w:name="_Toc27397"/>
      <w:bookmarkStart w:id="721" w:name="_Toc30426"/>
      <w:bookmarkStart w:id="722" w:name="_Toc6867"/>
      <w:bookmarkStart w:id="723" w:name="_Toc7700"/>
      <w:bookmarkStart w:id="724" w:name="_Toc21485"/>
      <w:bookmarkStart w:id="725" w:name="_Toc9889"/>
      <w:bookmarkStart w:id="726" w:name="_Toc12827"/>
      <w:bookmarkStart w:id="727" w:name="_Toc9500"/>
      <w:r>
        <w:rPr>
          <w:rFonts w:hint="eastAsia" w:ascii="楷体" w:hAnsi="楷体" w:eastAsia="楷体" w:cs="楷体"/>
          <w:b/>
          <w:bCs/>
          <w:sz w:val="32"/>
          <w:szCs w:val="32"/>
        </w:rPr>
        <w:br w:type="page"/>
      </w:r>
    </w:p>
    <w:p w14:paraId="59AB5E1C">
      <w:pPr>
        <w:pStyle w:val="2"/>
        <w:numPr>
          <w:ilvl w:val="0"/>
          <w:numId w:val="0"/>
        </w:numPr>
      </w:pPr>
      <w:bookmarkStart w:id="728" w:name="_Toc18408"/>
      <w:bookmarkStart w:id="729" w:name="_Toc30578"/>
      <w:r>
        <w:rPr>
          <w:rFonts w:hint="eastAsia"/>
        </w:rPr>
        <w:t>第七章  技术标准和要求</w:t>
      </w:r>
      <w:bookmarkEnd w:id="720"/>
      <w:bookmarkEnd w:id="721"/>
      <w:bookmarkEnd w:id="722"/>
      <w:bookmarkEnd w:id="723"/>
      <w:bookmarkEnd w:id="724"/>
      <w:bookmarkEnd w:id="725"/>
      <w:bookmarkEnd w:id="726"/>
      <w:bookmarkEnd w:id="727"/>
      <w:bookmarkEnd w:id="728"/>
      <w:bookmarkEnd w:id="729"/>
    </w:p>
    <w:p w14:paraId="4E7E7CFA">
      <w:pPr>
        <w:spacing w:line="360" w:lineRule="auto"/>
        <w:ind w:firstLine="482" w:firstLineChars="200"/>
        <w:rPr>
          <w:rFonts w:asciiTheme="minorEastAsia" w:hAnsiTheme="minorEastAsia" w:eastAsiaTheme="minorEastAsia" w:cstheme="minorEastAsia"/>
          <w:sz w:val="24"/>
          <w:szCs w:val="24"/>
        </w:rPr>
      </w:pPr>
      <w:bookmarkStart w:id="730" w:name="_Toc287621014"/>
      <w:bookmarkStart w:id="731" w:name="_Toc285539108"/>
      <w:bookmarkStart w:id="732" w:name="_Toc282615320"/>
      <w:bookmarkStart w:id="733" w:name="_Toc290577186"/>
      <w:bookmarkStart w:id="734" w:name="_Toc24914"/>
      <w:bookmarkStart w:id="735" w:name="_Toc2841"/>
      <w:r>
        <w:rPr>
          <w:rFonts w:hint="eastAsia" w:asciiTheme="minorEastAsia" w:hAnsiTheme="minorEastAsia" w:eastAsiaTheme="minorEastAsia" w:cstheme="minorEastAsia"/>
          <w:b/>
          <w:bCs/>
          <w:sz w:val="24"/>
          <w:szCs w:val="24"/>
        </w:rPr>
        <w:t>1. 适用的规范、标准和规程</w:t>
      </w:r>
      <w:bookmarkEnd w:id="730"/>
      <w:bookmarkEnd w:id="731"/>
      <w:bookmarkEnd w:id="732"/>
      <w:bookmarkEnd w:id="733"/>
    </w:p>
    <w:p w14:paraId="7ACDFEE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1.1本工程适用现行国家、行业和地方规范、标准和规程。构成合同文件的任何内容与适用的规范、标准和规程之间出现矛盾，施工人应书面要求发包人予以澄清。</w:t>
      </w:r>
    </w:p>
    <w:p w14:paraId="0A82DBC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3C3E19C">
      <w:pPr>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 施工验收规范</w:t>
      </w:r>
    </w:p>
    <w:p w14:paraId="60E2149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本工程执行国家现行的与本工程有关的施工、验收规范等。</w:t>
      </w:r>
    </w:p>
    <w:p w14:paraId="2A963291">
      <w:pPr>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 主要质量检验评定标准</w:t>
      </w:r>
    </w:p>
    <w:p w14:paraId="01EE7E2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本工程执行国家现行的与本工程有关的质量检验评定标准。</w:t>
      </w:r>
    </w:p>
    <w:p w14:paraId="498E1C34">
      <w:pPr>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4.履约验收</w:t>
      </w:r>
    </w:p>
    <w:p w14:paraId="04FDAA2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采购人根据国家有关规定、采购文件、成交供应商的响应文件、合同约定的内容和工程施工及验收规范进行验收。验收后填写《验收报告》，作为付款依据。</w:t>
      </w:r>
    </w:p>
    <w:p w14:paraId="2E23D853">
      <w:pPr>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5.其他</w:t>
      </w:r>
    </w:p>
    <w:p w14:paraId="4876768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本次采购人在选用材料和设备时，选用的是国际、国内行业一线品牌市场平均价作为参考计入本项目最高限价。为保证项目质量，供应商在响应文件中所提供产品品牌须为行业一线品牌。</w:t>
      </w:r>
    </w:p>
    <w:p w14:paraId="53C43B7C">
      <w:pPr>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6.清单要求：</w:t>
      </w:r>
    </w:p>
    <w:p w14:paraId="39D4CFF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主要电气元件，除了要满足图纸设计要求外，尚须满足（★标注部分）：</w:t>
      </w:r>
    </w:p>
    <w:p w14:paraId="6354E4D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一、塑料外壳式断路器</w:t>
      </w:r>
    </w:p>
    <w:p w14:paraId="4B859A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★需具有“热动+电磁脱扣器”功能</w:t>
      </w:r>
    </w:p>
    <w:p w14:paraId="7C45096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★额定极限短路分段能力选用较高分段型</w:t>
      </w:r>
    </w:p>
    <w:p w14:paraId="62A8985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可参照或相当于常熟开关制造有限公司（原常熟开关厂）、上海良信电器股份有限公司、施耐德公司等厂家产品；</w:t>
      </w:r>
    </w:p>
    <w:p w14:paraId="160AF3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二、万能式断路器（框架式断路器）</w:t>
      </w:r>
    </w:p>
    <w:p w14:paraId="46727B9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★抽屉式、额定极限短路分段能力不小于85KA</w:t>
      </w:r>
    </w:p>
    <w:p w14:paraId="239E354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可参照或相当于常熟开关制造有限公司（原常熟开关厂）；上海良信电器股份有限公司；施耐德公司等厂家产品；</w:t>
      </w:r>
    </w:p>
    <w:p w14:paraId="5A3E713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三、干式变压器</w:t>
      </w:r>
    </w:p>
    <w:p w14:paraId="5392279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★一、二次绕组均为铜材质；带外壳带风机；增设矩阵式减震器</w:t>
      </w:r>
    </w:p>
    <w:p w14:paraId="03C2499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可参照或相当于许继、海南金盘、特变电工等厂家的产品；</w:t>
      </w:r>
    </w:p>
    <w:p w14:paraId="7A2F251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四、真空断路器</w:t>
      </w:r>
    </w:p>
    <w:p w14:paraId="0D84FF4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★手车式断路器，额定短路分段能力25KA</w:t>
      </w:r>
    </w:p>
    <w:p w14:paraId="07AA80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可参照或相当于上海良信电器股份有限公司、施耐德公司、ABB公司、西安森源公司等厂家产品；</w:t>
      </w:r>
    </w:p>
    <w:p w14:paraId="3613446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五、通用型微机综合保护装置</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可参照或相当于南京天朔、许继电气、深圳柯诺梅尔等厂家产品；</w:t>
      </w:r>
    </w:p>
    <w:p w14:paraId="26B5279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六、对主要电气元件的其他要求等；</w:t>
      </w:r>
    </w:p>
    <w:p w14:paraId="57BD41BD">
      <w:pPr>
        <w:spacing w:line="360" w:lineRule="auto"/>
        <w:ind w:firstLine="480" w:firstLineChars="200"/>
      </w:pPr>
      <w:r>
        <w:rPr>
          <w:rFonts w:hint="eastAsia" w:asciiTheme="minorEastAsia" w:hAnsiTheme="minorEastAsia" w:eastAsiaTheme="minorEastAsia" w:cstheme="minorEastAsia"/>
          <w:sz w:val="24"/>
          <w:szCs w:val="24"/>
        </w:rPr>
        <w:t>★投标方应在投标主材清单中明确主要电气元件（包括但不限于塑料外壳式断路器、万能式断路器、变压器、10KV真空断路器、通用型微机综合保护装置）的品牌、规格型号、生产厂家、单价。</w:t>
      </w:r>
    </w:p>
    <w:p w14:paraId="24A0C2B9"/>
    <w:p w14:paraId="5509C53F">
      <w:r>
        <w:rPr>
          <w:rFonts w:hint="eastAsia"/>
        </w:rPr>
        <w:t xml:space="preserve">                                                </w:t>
      </w:r>
    </w:p>
    <w:p w14:paraId="2E92E8EF">
      <w:pPr>
        <w:rPr>
          <w:rFonts w:ascii="楷体" w:hAnsi="楷体" w:eastAsia="楷体" w:cs="楷体"/>
          <w:b/>
          <w:bCs/>
          <w:sz w:val="32"/>
          <w:szCs w:val="32"/>
        </w:rPr>
      </w:pPr>
      <w:r>
        <w:rPr>
          <w:rFonts w:hint="eastAsia" w:ascii="楷体" w:hAnsi="楷体" w:eastAsia="楷体" w:cs="楷体"/>
          <w:b/>
          <w:bCs/>
          <w:sz w:val="32"/>
          <w:szCs w:val="32"/>
        </w:rPr>
        <w:br w:type="page"/>
      </w:r>
    </w:p>
    <w:p w14:paraId="6AD0AF1D">
      <w:pPr>
        <w:pStyle w:val="2"/>
        <w:numPr>
          <w:ilvl w:val="0"/>
          <w:numId w:val="0"/>
        </w:numPr>
      </w:pPr>
      <w:bookmarkStart w:id="736" w:name="_Toc20132"/>
      <w:r>
        <w:rPr>
          <w:rFonts w:hint="eastAsia"/>
        </w:rPr>
        <w:t>第八章  响应文件格式</w:t>
      </w:r>
      <w:bookmarkEnd w:id="734"/>
      <w:bookmarkEnd w:id="735"/>
      <w:bookmarkEnd w:id="736"/>
    </w:p>
    <w:p w14:paraId="2ED0F6EC">
      <w:pPr>
        <w:jc w:val="left"/>
        <w:rPr>
          <w:sz w:val="24"/>
          <w:szCs w:val="24"/>
        </w:rPr>
      </w:pPr>
      <w:r>
        <w:rPr>
          <w:sz w:val="24"/>
          <w:szCs w:val="24"/>
        </w:rPr>
        <w:t>封面格式</w:t>
      </w:r>
    </w:p>
    <w:p w14:paraId="550F1B1D">
      <w:pPr>
        <w:spacing w:before="91" w:line="221" w:lineRule="auto"/>
        <w:ind w:left="3342"/>
        <w:rPr>
          <w:rFonts w:ascii="宋体" w:hAnsi="宋体" w:cs="宋体"/>
          <w:b/>
          <w:bCs/>
          <w:spacing w:val="-6"/>
          <w:sz w:val="28"/>
          <w:szCs w:val="28"/>
          <w:u w:val="single"/>
        </w:rPr>
      </w:pPr>
    </w:p>
    <w:p w14:paraId="745A51A9">
      <w:pPr>
        <w:spacing w:line="360" w:lineRule="auto"/>
        <w:jc w:val="center"/>
        <w:rPr>
          <w:rFonts w:ascii="宋体" w:hAnsi="宋体" w:cs="宋体"/>
          <w:sz w:val="36"/>
          <w:szCs w:val="36"/>
        </w:rPr>
      </w:pPr>
      <w:r>
        <w:rPr>
          <w:rFonts w:ascii="宋体" w:hAnsi="宋体" w:cs="宋体"/>
          <w:b/>
          <w:bCs/>
          <w:spacing w:val="-6"/>
          <w:sz w:val="36"/>
          <w:szCs w:val="36"/>
          <w:u w:val="single"/>
        </w:rPr>
        <w:t>（项目名称）</w:t>
      </w:r>
      <w:r>
        <w:rPr>
          <w:rFonts w:hint="eastAsia" w:ascii="宋体" w:hAnsi="宋体" w:cs="宋体"/>
          <w:b/>
          <w:bCs/>
          <w:spacing w:val="-6"/>
          <w:sz w:val="36"/>
          <w:szCs w:val="36"/>
          <w:u w:val="single"/>
        </w:rPr>
        <w:t xml:space="preserve">    </w:t>
      </w:r>
    </w:p>
    <w:p w14:paraId="3E167907">
      <w:pPr>
        <w:pStyle w:val="9"/>
        <w:spacing w:line="255" w:lineRule="auto"/>
      </w:pPr>
    </w:p>
    <w:p w14:paraId="14C2DCD9">
      <w:pPr>
        <w:pStyle w:val="9"/>
        <w:spacing w:line="255" w:lineRule="auto"/>
      </w:pPr>
    </w:p>
    <w:p w14:paraId="1AA94996">
      <w:pPr>
        <w:pStyle w:val="9"/>
        <w:spacing w:line="255" w:lineRule="auto"/>
      </w:pPr>
    </w:p>
    <w:p w14:paraId="1BBE30B2">
      <w:pPr>
        <w:pStyle w:val="9"/>
        <w:spacing w:line="255" w:lineRule="auto"/>
      </w:pPr>
    </w:p>
    <w:p w14:paraId="4D4CE295">
      <w:pPr>
        <w:pStyle w:val="9"/>
        <w:spacing w:line="255" w:lineRule="auto"/>
      </w:pPr>
    </w:p>
    <w:p w14:paraId="5A2E2E92">
      <w:pPr>
        <w:pStyle w:val="9"/>
        <w:spacing w:line="255" w:lineRule="auto"/>
      </w:pPr>
    </w:p>
    <w:p w14:paraId="47624662">
      <w:pPr>
        <w:pStyle w:val="9"/>
        <w:spacing w:line="255" w:lineRule="auto"/>
      </w:pPr>
    </w:p>
    <w:p w14:paraId="77CC511D">
      <w:pPr>
        <w:spacing w:line="480" w:lineRule="auto"/>
        <w:jc w:val="center"/>
        <w:rPr>
          <w:rFonts w:ascii="宋体" w:hAnsi="宋体" w:cs="宋体"/>
          <w:sz w:val="52"/>
          <w:szCs w:val="52"/>
        </w:rPr>
      </w:pPr>
      <w:bookmarkStart w:id="737" w:name="bookmark52"/>
      <w:bookmarkEnd w:id="737"/>
      <w:r>
        <w:rPr>
          <w:rFonts w:ascii="宋体" w:hAnsi="宋体" w:cs="宋体"/>
          <w:b/>
          <w:bCs/>
          <w:spacing w:val="-19"/>
          <w:sz w:val="52"/>
          <w:szCs w:val="52"/>
        </w:rPr>
        <w:t>响</w:t>
      </w:r>
      <w:r>
        <w:rPr>
          <w:rFonts w:ascii="宋体" w:hAnsi="宋体" w:cs="宋体"/>
          <w:spacing w:val="25"/>
          <w:sz w:val="52"/>
          <w:szCs w:val="52"/>
        </w:rPr>
        <w:t xml:space="preserve"> </w:t>
      </w:r>
      <w:r>
        <w:rPr>
          <w:rFonts w:ascii="宋体" w:hAnsi="宋体" w:cs="宋体"/>
          <w:b/>
          <w:bCs/>
          <w:spacing w:val="-19"/>
          <w:sz w:val="52"/>
          <w:szCs w:val="52"/>
        </w:rPr>
        <w:t>应</w:t>
      </w:r>
      <w:r>
        <w:rPr>
          <w:rFonts w:ascii="宋体" w:hAnsi="宋体" w:cs="宋体"/>
          <w:spacing w:val="29"/>
          <w:sz w:val="52"/>
          <w:szCs w:val="52"/>
        </w:rPr>
        <w:t xml:space="preserve"> </w:t>
      </w:r>
      <w:r>
        <w:rPr>
          <w:rFonts w:ascii="宋体" w:hAnsi="宋体" w:cs="宋体"/>
          <w:b/>
          <w:bCs/>
          <w:spacing w:val="-19"/>
          <w:sz w:val="52"/>
          <w:szCs w:val="52"/>
        </w:rPr>
        <w:t>文</w:t>
      </w:r>
      <w:r>
        <w:rPr>
          <w:rFonts w:ascii="宋体" w:hAnsi="宋体" w:cs="宋体"/>
          <w:spacing w:val="24"/>
          <w:sz w:val="52"/>
          <w:szCs w:val="52"/>
        </w:rPr>
        <w:t xml:space="preserve"> </w:t>
      </w:r>
      <w:r>
        <w:rPr>
          <w:rFonts w:ascii="宋体" w:hAnsi="宋体" w:cs="宋体"/>
          <w:b/>
          <w:bCs/>
          <w:spacing w:val="-19"/>
          <w:sz w:val="52"/>
          <w:szCs w:val="52"/>
        </w:rPr>
        <w:t>件</w:t>
      </w:r>
    </w:p>
    <w:p w14:paraId="313BA3C8">
      <w:pPr>
        <w:spacing w:line="480" w:lineRule="auto"/>
        <w:jc w:val="center"/>
        <w:rPr>
          <w:rFonts w:ascii="宋体" w:hAnsi="宋体" w:cs="宋体"/>
          <w:sz w:val="32"/>
          <w:szCs w:val="32"/>
        </w:rPr>
      </w:pPr>
      <w:r>
        <w:rPr>
          <w:rFonts w:hint="eastAsia" w:ascii="宋体" w:hAnsi="宋体" w:cs="宋体"/>
          <w:b/>
          <w:bCs/>
          <w:spacing w:val="-7"/>
          <w:sz w:val="32"/>
          <w:szCs w:val="32"/>
        </w:rPr>
        <w:t>采购</w:t>
      </w:r>
      <w:r>
        <w:rPr>
          <w:rFonts w:ascii="宋体" w:hAnsi="宋体" w:cs="宋体"/>
          <w:b/>
          <w:bCs/>
          <w:spacing w:val="-7"/>
          <w:sz w:val="32"/>
          <w:szCs w:val="32"/>
        </w:rPr>
        <w:t>编号：</w:t>
      </w:r>
    </w:p>
    <w:p w14:paraId="3D1DF9D3">
      <w:pPr>
        <w:pStyle w:val="9"/>
        <w:spacing w:line="255" w:lineRule="auto"/>
      </w:pPr>
    </w:p>
    <w:p w14:paraId="69243432">
      <w:pPr>
        <w:pStyle w:val="9"/>
        <w:spacing w:line="255" w:lineRule="auto"/>
      </w:pPr>
    </w:p>
    <w:p w14:paraId="1CF8AEC9">
      <w:pPr>
        <w:pStyle w:val="9"/>
        <w:spacing w:line="255" w:lineRule="auto"/>
      </w:pPr>
    </w:p>
    <w:p w14:paraId="15204699">
      <w:pPr>
        <w:pStyle w:val="9"/>
        <w:spacing w:line="255" w:lineRule="auto"/>
      </w:pPr>
    </w:p>
    <w:p w14:paraId="0E3CA205">
      <w:pPr>
        <w:pStyle w:val="9"/>
        <w:spacing w:line="255" w:lineRule="auto"/>
      </w:pPr>
    </w:p>
    <w:p w14:paraId="71E3111B">
      <w:pPr>
        <w:pStyle w:val="9"/>
        <w:spacing w:line="255" w:lineRule="auto"/>
      </w:pPr>
    </w:p>
    <w:p w14:paraId="6E1A148E">
      <w:pPr>
        <w:pStyle w:val="9"/>
        <w:spacing w:line="256" w:lineRule="auto"/>
      </w:pPr>
    </w:p>
    <w:p w14:paraId="14689252">
      <w:pPr>
        <w:spacing w:before="91" w:line="219" w:lineRule="auto"/>
        <w:ind w:left="2069"/>
        <w:rPr>
          <w:rFonts w:ascii="宋体" w:hAnsi="宋体" w:cs="宋体"/>
          <w:sz w:val="28"/>
          <w:szCs w:val="28"/>
        </w:rPr>
      </w:pPr>
      <w:r>
        <w:rPr>
          <w:rFonts w:ascii="宋体" w:hAnsi="宋体" w:cs="宋体"/>
          <w:b/>
          <w:bCs/>
          <w:sz w:val="28"/>
          <w:szCs w:val="28"/>
        </w:rPr>
        <w:t>供应商</w:t>
      </w:r>
      <w:r>
        <w:rPr>
          <w:rFonts w:ascii="宋体" w:hAnsi="宋体" w:cs="宋体"/>
          <w:b/>
          <w:bCs/>
          <w:spacing w:val="-20"/>
          <w:sz w:val="28"/>
          <w:szCs w:val="28"/>
        </w:rPr>
        <w:t>：（</w:t>
      </w:r>
      <w:r>
        <w:rPr>
          <w:rFonts w:ascii="宋体" w:hAnsi="宋体" w:cs="宋体"/>
          <w:b/>
          <w:bCs/>
          <w:sz w:val="28"/>
          <w:szCs w:val="28"/>
        </w:rPr>
        <w:t>企业电子签章或盖章）</w:t>
      </w:r>
    </w:p>
    <w:p w14:paraId="44F2898D">
      <w:pPr>
        <w:spacing w:before="292" w:line="219" w:lineRule="auto"/>
        <w:ind w:left="383"/>
        <w:rPr>
          <w:rFonts w:ascii="宋体" w:hAnsi="宋体" w:cs="宋体"/>
          <w:sz w:val="28"/>
          <w:szCs w:val="28"/>
        </w:rPr>
      </w:pPr>
      <w:r>
        <w:rPr>
          <w:rFonts w:ascii="宋体" w:hAnsi="宋体" w:cs="宋体"/>
          <w:b/>
          <w:bCs/>
          <w:spacing w:val="-1"/>
          <w:sz w:val="28"/>
          <w:szCs w:val="28"/>
        </w:rPr>
        <w:t>法定代表人或其委托代理人</w:t>
      </w:r>
      <w:r>
        <w:rPr>
          <w:rFonts w:ascii="宋体" w:hAnsi="宋体" w:cs="宋体"/>
          <w:b/>
          <w:bCs/>
          <w:spacing w:val="-20"/>
          <w:sz w:val="28"/>
          <w:szCs w:val="28"/>
        </w:rPr>
        <w:t>：（</w:t>
      </w:r>
      <w:r>
        <w:rPr>
          <w:rFonts w:ascii="宋体" w:hAnsi="宋体" w:cs="宋体"/>
          <w:b/>
          <w:bCs/>
          <w:spacing w:val="-1"/>
          <w:sz w:val="28"/>
          <w:szCs w:val="28"/>
        </w:rPr>
        <w:t>个人电子签章或盖章或签字）</w:t>
      </w:r>
    </w:p>
    <w:p w14:paraId="113179BC">
      <w:pPr>
        <w:spacing w:before="291" w:line="220" w:lineRule="auto"/>
        <w:ind w:left="3266"/>
        <w:rPr>
          <w:rFonts w:ascii="宋体" w:hAnsi="宋体" w:cs="宋体"/>
          <w:sz w:val="28"/>
          <w:szCs w:val="28"/>
        </w:rPr>
      </w:pPr>
      <w:r>
        <w:rPr>
          <w:rFonts w:ascii="宋体" w:hAnsi="宋体" w:cs="宋体"/>
          <w:b/>
          <w:bCs/>
          <w:spacing w:val="-9"/>
          <w:sz w:val="28"/>
          <w:szCs w:val="28"/>
        </w:rPr>
        <w:t>年</w:t>
      </w:r>
      <w:r>
        <w:rPr>
          <w:rFonts w:ascii="宋体" w:hAnsi="宋体" w:cs="宋体"/>
          <w:spacing w:val="2"/>
          <w:sz w:val="28"/>
          <w:szCs w:val="28"/>
        </w:rPr>
        <w:t xml:space="preserve">         </w:t>
      </w:r>
      <w:r>
        <w:rPr>
          <w:rFonts w:ascii="宋体" w:hAnsi="宋体" w:cs="宋体"/>
          <w:b/>
          <w:bCs/>
          <w:spacing w:val="-9"/>
          <w:sz w:val="28"/>
          <w:szCs w:val="28"/>
        </w:rPr>
        <w:t>月</w:t>
      </w:r>
    </w:p>
    <w:p w14:paraId="5EC4C91C">
      <w:pPr>
        <w:spacing w:line="220" w:lineRule="auto"/>
        <w:rPr>
          <w:rFonts w:ascii="宋体" w:hAnsi="宋体" w:cs="宋体"/>
          <w:sz w:val="28"/>
          <w:szCs w:val="28"/>
        </w:rPr>
        <w:sectPr>
          <w:footerReference r:id="rId4" w:type="default"/>
          <w:pgSz w:w="11906" w:h="16838"/>
          <w:pgMar w:top="1701" w:right="1531" w:bottom="1531" w:left="1531" w:header="0" w:footer="986" w:gutter="0"/>
          <w:cols w:space="0" w:num="1"/>
        </w:sectPr>
      </w:pPr>
    </w:p>
    <w:p w14:paraId="40A71693">
      <w:pPr>
        <w:pStyle w:val="9"/>
        <w:spacing w:line="395" w:lineRule="auto"/>
      </w:pPr>
    </w:p>
    <w:p w14:paraId="4179D9DD">
      <w:pPr>
        <w:jc w:val="center"/>
        <w:rPr>
          <w:sz w:val="28"/>
          <w:szCs w:val="28"/>
        </w:rPr>
      </w:pPr>
      <w:bookmarkStart w:id="738" w:name="bookmark54"/>
      <w:bookmarkEnd w:id="738"/>
      <w:bookmarkStart w:id="739" w:name="bookmark53"/>
      <w:bookmarkEnd w:id="739"/>
      <w:r>
        <w:rPr>
          <w:sz w:val="28"/>
          <w:szCs w:val="28"/>
        </w:rPr>
        <w:t>目    录</w:t>
      </w:r>
    </w:p>
    <w:p w14:paraId="6E4BA974">
      <w:pPr>
        <w:spacing w:line="360" w:lineRule="auto"/>
        <w:rPr>
          <w:rFonts w:ascii="宋体" w:hAnsi="宋体" w:cs="宋体"/>
          <w:sz w:val="24"/>
          <w:szCs w:val="24"/>
        </w:rPr>
      </w:pPr>
      <w:r>
        <w:rPr>
          <w:rFonts w:ascii="宋体" w:hAnsi="宋体" w:cs="宋体"/>
          <w:spacing w:val="8"/>
          <w:sz w:val="24"/>
          <w:szCs w:val="24"/>
        </w:rPr>
        <w:t>一、磋商函及磋商函附录</w:t>
      </w:r>
    </w:p>
    <w:p w14:paraId="0EEE3777">
      <w:pPr>
        <w:spacing w:line="360" w:lineRule="auto"/>
        <w:rPr>
          <w:rFonts w:ascii="宋体" w:hAnsi="宋体" w:cs="宋体"/>
          <w:sz w:val="24"/>
          <w:szCs w:val="24"/>
        </w:rPr>
      </w:pPr>
      <w:r>
        <w:rPr>
          <w:rFonts w:ascii="宋体" w:hAnsi="宋体" w:cs="宋体"/>
          <w:spacing w:val="8"/>
          <w:sz w:val="24"/>
          <w:szCs w:val="24"/>
        </w:rPr>
        <w:t>二、法定代表身份证明</w:t>
      </w:r>
    </w:p>
    <w:p w14:paraId="56F09432">
      <w:pPr>
        <w:spacing w:line="360" w:lineRule="auto"/>
        <w:rPr>
          <w:rFonts w:ascii="宋体" w:hAnsi="宋体" w:cs="宋体"/>
          <w:sz w:val="24"/>
          <w:szCs w:val="24"/>
        </w:rPr>
      </w:pPr>
      <w:r>
        <w:rPr>
          <w:rFonts w:ascii="宋体" w:hAnsi="宋体" w:cs="宋体"/>
          <w:spacing w:val="8"/>
          <w:sz w:val="24"/>
          <w:szCs w:val="24"/>
        </w:rPr>
        <w:t>三、授权委托书</w:t>
      </w:r>
    </w:p>
    <w:p w14:paraId="30532DFE">
      <w:pPr>
        <w:spacing w:line="360" w:lineRule="auto"/>
        <w:rPr>
          <w:rFonts w:ascii="宋体" w:hAnsi="宋体" w:cs="宋体"/>
          <w:sz w:val="24"/>
          <w:szCs w:val="24"/>
        </w:rPr>
      </w:pPr>
      <w:r>
        <w:rPr>
          <w:rFonts w:ascii="宋体" w:hAnsi="宋体" w:cs="宋体"/>
          <w:spacing w:val="5"/>
          <w:sz w:val="24"/>
          <w:szCs w:val="24"/>
        </w:rPr>
        <w:t>四、磋商承诺函</w:t>
      </w:r>
    </w:p>
    <w:p w14:paraId="10710247">
      <w:pPr>
        <w:spacing w:line="360" w:lineRule="auto"/>
        <w:rPr>
          <w:rFonts w:ascii="宋体" w:hAnsi="宋体" w:cs="宋体"/>
          <w:sz w:val="24"/>
          <w:szCs w:val="24"/>
        </w:rPr>
      </w:pPr>
      <w:r>
        <w:rPr>
          <w:rFonts w:ascii="宋体" w:hAnsi="宋体" w:cs="宋体"/>
          <w:spacing w:val="8"/>
          <w:sz w:val="24"/>
          <w:szCs w:val="24"/>
        </w:rPr>
        <w:t>五、已标价工程量清单</w:t>
      </w:r>
    </w:p>
    <w:p w14:paraId="6F1F163E">
      <w:pPr>
        <w:spacing w:line="360" w:lineRule="auto"/>
        <w:rPr>
          <w:rFonts w:ascii="宋体" w:hAnsi="宋体" w:cs="宋体"/>
          <w:sz w:val="24"/>
          <w:szCs w:val="24"/>
        </w:rPr>
      </w:pPr>
      <w:r>
        <w:rPr>
          <w:rFonts w:ascii="宋体" w:hAnsi="宋体" w:cs="宋体"/>
          <w:spacing w:val="8"/>
          <w:sz w:val="24"/>
          <w:szCs w:val="24"/>
        </w:rPr>
        <w:t>六、施工组织设计</w:t>
      </w:r>
    </w:p>
    <w:p w14:paraId="743ADBBD">
      <w:pPr>
        <w:spacing w:line="360" w:lineRule="auto"/>
        <w:rPr>
          <w:rFonts w:ascii="宋体" w:hAnsi="宋体" w:cs="宋体"/>
          <w:sz w:val="24"/>
          <w:szCs w:val="24"/>
        </w:rPr>
      </w:pPr>
      <w:r>
        <w:rPr>
          <w:rFonts w:ascii="宋体" w:hAnsi="宋体" w:cs="宋体"/>
          <w:spacing w:val="8"/>
          <w:sz w:val="24"/>
          <w:szCs w:val="24"/>
        </w:rPr>
        <w:t>七、项目管理机构</w:t>
      </w:r>
    </w:p>
    <w:p w14:paraId="0741F0EE">
      <w:pPr>
        <w:spacing w:line="360" w:lineRule="auto"/>
        <w:rPr>
          <w:rFonts w:ascii="宋体" w:hAnsi="宋体" w:cs="宋体"/>
          <w:sz w:val="24"/>
          <w:szCs w:val="24"/>
        </w:rPr>
      </w:pPr>
      <w:r>
        <w:rPr>
          <w:rFonts w:ascii="宋体" w:hAnsi="宋体" w:cs="宋体"/>
          <w:spacing w:val="8"/>
          <w:sz w:val="24"/>
          <w:szCs w:val="24"/>
        </w:rPr>
        <w:t>八、资格审查资料</w:t>
      </w:r>
    </w:p>
    <w:p w14:paraId="3FC20C1B">
      <w:pPr>
        <w:spacing w:line="360" w:lineRule="auto"/>
        <w:rPr>
          <w:rFonts w:ascii="宋体" w:hAnsi="宋体" w:cs="宋体"/>
          <w:sz w:val="24"/>
          <w:szCs w:val="24"/>
        </w:rPr>
      </w:pPr>
      <w:r>
        <w:rPr>
          <w:rFonts w:ascii="宋体" w:hAnsi="宋体" w:cs="宋体"/>
          <w:spacing w:val="8"/>
          <w:sz w:val="24"/>
          <w:szCs w:val="24"/>
        </w:rPr>
        <w:t>九、近年完成的类似项目情况表</w:t>
      </w:r>
    </w:p>
    <w:p w14:paraId="27A8E4D7">
      <w:pPr>
        <w:spacing w:line="360" w:lineRule="auto"/>
        <w:rPr>
          <w:rFonts w:ascii="宋体" w:hAnsi="宋体" w:cs="宋体"/>
          <w:sz w:val="24"/>
          <w:szCs w:val="24"/>
        </w:rPr>
      </w:pPr>
      <w:r>
        <w:rPr>
          <w:rFonts w:ascii="宋体" w:hAnsi="宋体" w:cs="宋体"/>
          <w:spacing w:val="9"/>
          <w:sz w:val="24"/>
          <w:szCs w:val="24"/>
        </w:rPr>
        <w:t>十、正在实施的和新承接的项目情况表</w:t>
      </w:r>
    </w:p>
    <w:p w14:paraId="1C710E9A">
      <w:pPr>
        <w:spacing w:line="360" w:lineRule="auto"/>
        <w:rPr>
          <w:rFonts w:ascii="宋体" w:hAnsi="宋体" w:cs="宋体"/>
          <w:sz w:val="24"/>
          <w:szCs w:val="24"/>
        </w:rPr>
      </w:pPr>
      <w:r>
        <w:rPr>
          <w:rFonts w:ascii="宋体" w:hAnsi="宋体" w:cs="宋体"/>
          <w:spacing w:val="9"/>
          <w:sz w:val="24"/>
          <w:szCs w:val="24"/>
        </w:rPr>
        <w:t>十一、</w:t>
      </w:r>
      <w:r>
        <w:rPr>
          <w:rFonts w:hint="eastAsia" w:ascii="宋体" w:hAnsi="宋体" w:cs="宋体"/>
          <w:spacing w:val="9"/>
          <w:sz w:val="24"/>
          <w:szCs w:val="24"/>
        </w:rPr>
        <w:t>服务</w:t>
      </w:r>
      <w:r>
        <w:rPr>
          <w:rFonts w:ascii="宋体" w:hAnsi="宋体" w:cs="宋体"/>
          <w:spacing w:val="9"/>
          <w:sz w:val="24"/>
          <w:szCs w:val="24"/>
        </w:rPr>
        <w:t>承诺</w:t>
      </w:r>
    </w:p>
    <w:p w14:paraId="3F4A5F83">
      <w:pPr>
        <w:spacing w:line="360" w:lineRule="auto"/>
        <w:rPr>
          <w:rFonts w:ascii="宋体" w:hAnsi="宋体" w:cs="宋体"/>
          <w:sz w:val="24"/>
          <w:szCs w:val="24"/>
        </w:rPr>
      </w:pPr>
      <w:r>
        <w:rPr>
          <w:rFonts w:ascii="宋体" w:hAnsi="宋体" w:cs="宋体"/>
          <w:spacing w:val="8"/>
          <w:sz w:val="24"/>
          <w:szCs w:val="24"/>
        </w:rPr>
        <w:t>十二、中小企业声明函</w:t>
      </w:r>
    </w:p>
    <w:p w14:paraId="48814A85">
      <w:pPr>
        <w:spacing w:line="360" w:lineRule="auto"/>
        <w:rPr>
          <w:rFonts w:ascii="宋体" w:hAnsi="宋体" w:cs="宋体"/>
          <w:sz w:val="24"/>
          <w:szCs w:val="24"/>
        </w:rPr>
      </w:pPr>
      <w:r>
        <w:rPr>
          <w:rFonts w:ascii="宋体" w:hAnsi="宋体" w:cs="宋体"/>
          <w:spacing w:val="9"/>
          <w:sz w:val="24"/>
          <w:szCs w:val="24"/>
        </w:rPr>
        <w:t>十三、反商业贿赂承诺书</w:t>
      </w:r>
    </w:p>
    <w:p w14:paraId="5F7EB7A9">
      <w:pPr>
        <w:spacing w:line="360" w:lineRule="auto"/>
        <w:rPr>
          <w:rFonts w:ascii="宋体" w:hAnsi="宋体" w:cs="宋体"/>
          <w:sz w:val="24"/>
          <w:szCs w:val="24"/>
        </w:rPr>
      </w:pPr>
      <w:r>
        <w:rPr>
          <w:rFonts w:ascii="宋体" w:hAnsi="宋体" w:cs="宋体"/>
          <w:spacing w:val="9"/>
          <w:sz w:val="24"/>
          <w:szCs w:val="24"/>
        </w:rPr>
        <w:t>十四、供应商认为有必要提供的其他资料</w:t>
      </w:r>
    </w:p>
    <w:p w14:paraId="76B4DD71">
      <w:pPr>
        <w:spacing w:line="227" w:lineRule="auto"/>
        <w:rPr>
          <w:rFonts w:ascii="宋体" w:hAnsi="宋体" w:cs="宋体"/>
          <w:sz w:val="20"/>
          <w:szCs w:val="20"/>
        </w:rPr>
        <w:sectPr>
          <w:footerReference r:id="rId5" w:type="default"/>
          <w:pgSz w:w="11906" w:h="16838"/>
          <w:pgMar w:top="1701" w:right="1531" w:bottom="1531" w:left="1531" w:header="0" w:footer="986" w:gutter="0"/>
          <w:cols w:space="0" w:num="1"/>
        </w:sectPr>
      </w:pPr>
    </w:p>
    <w:p w14:paraId="2CA99B2A">
      <w:pPr>
        <w:spacing w:line="360" w:lineRule="auto"/>
        <w:jc w:val="center"/>
        <w:rPr>
          <w:b/>
          <w:bCs/>
          <w:sz w:val="28"/>
          <w:szCs w:val="28"/>
        </w:rPr>
      </w:pPr>
      <w:bookmarkStart w:id="740" w:name="bookmark58"/>
      <w:bookmarkEnd w:id="740"/>
      <w:bookmarkStart w:id="741" w:name="bookmark55"/>
      <w:bookmarkEnd w:id="741"/>
      <w:bookmarkStart w:id="742" w:name="bookmark56"/>
      <w:bookmarkEnd w:id="742"/>
      <w:r>
        <w:rPr>
          <w:rFonts w:hint="eastAsia"/>
          <w:b/>
          <w:bCs/>
          <w:sz w:val="28"/>
          <w:szCs w:val="28"/>
        </w:rPr>
        <w:t>一、磋商函及磋商函附录</w:t>
      </w:r>
    </w:p>
    <w:p w14:paraId="2FDFE9D7">
      <w:pPr>
        <w:spacing w:line="360" w:lineRule="auto"/>
        <w:jc w:val="center"/>
        <w:rPr>
          <w:rFonts w:asciiTheme="minorEastAsia" w:hAnsiTheme="minorEastAsia" w:eastAsiaTheme="minorEastAsia" w:cstheme="minorEastAsia"/>
          <w:b/>
          <w:bCs/>
          <w:sz w:val="24"/>
          <w:szCs w:val="24"/>
        </w:rPr>
      </w:pPr>
      <w:bookmarkStart w:id="743" w:name="bookmark57"/>
      <w:bookmarkEnd w:id="743"/>
      <w:r>
        <w:rPr>
          <w:rFonts w:hint="eastAsia" w:asciiTheme="minorEastAsia" w:hAnsiTheme="minorEastAsia" w:eastAsiaTheme="minorEastAsia" w:cstheme="minorEastAsia"/>
          <w:b/>
          <w:bCs/>
          <w:sz w:val="24"/>
          <w:szCs w:val="24"/>
        </w:rPr>
        <w:t>1.磋商函</w:t>
      </w:r>
    </w:p>
    <w:p w14:paraId="4201F87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u w:val="single"/>
        </w:rPr>
        <w:t>（采购人名称</w:t>
      </w:r>
      <w:r>
        <w:rPr>
          <w:rFonts w:hint="eastAsia" w:asciiTheme="minorEastAsia" w:hAnsiTheme="minorEastAsia" w:eastAsiaTheme="minorEastAsia" w:cstheme="minorEastAsia"/>
          <w:spacing w:val="1"/>
          <w:sz w:val="24"/>
          <w:szCs w:val="24"/>
          <w:u w:val="single"/>
        </w:rPr>
        <w:t>）</w:t>
      </w:r>
      <w:r>
        <w:rPr>
          <w:rFonts w:hint="eastAsia" w:asciiTheme="minorEastAsia" w:hAnsiTheme="minorEastAsia" w:eastAsiaTheme="minorEastAsia" w:cstheme="minorEastAsia"/>
          <w:spacing w:val="1"/>
          <w:sz w:val="24"/>
          <w:szCs w:val="24"/>
        </w:rPr>
        <w:t>：</w:t>
      </w:r>
    </w:p>
    <w:p w14:paraId="2F8A65F1">
      <w:pPr>
        <w:spacing w:line="360" w:lineRule="auto"/>
        <w:ind w:firstLine="51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1．我方已仔细研究了</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9"/>
          <w:sz w:val="24"/>
          <w:szCs w:val="24"/>
          <w:u w:val="single"/>
        </w:rPr>
        <w:t xml:space="preserve">  （项目名称）   </w:t>
      </w:r>
      <w:r>
        <w:rPr>
          <w:rFonts w:hint="eastAsia" w:asciiTheme="minorEastAsia" w:hAnsiTheme="minorEastAsia" w:eastAsiaTheme="minorEastAsia" w:cstheme="minorEastAsia"/>
          <w:spacing w:val="9"/>
          <w:sz w:val="24"/>
          <w:szCs w:val="24"/>
        </w:rPr>
        <w:t>磋商文件的全部内容，愿意以人民币（大</w:t>
      </w:r>
      <w:r>
        <w:rPr>
          <w:rFonts w:hint="eastAsia" w:asciiTheme="minorEastAsia" w:hAnsiTheme="minorEastAsia" w:eastAsiaTheme="minorEastAsia" w:cstheme="minorEastAsia"/>
          <w:spacing w:val="3"/>
          <w:sz w:val="24"/>
          <w:szCs w:val="24"/>
        </w:rPr>
        <w:t>写</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3"/>
          <w:sz w:val="24"/>
          <w:szCs w:val="24"/>
        </w:rPr>
        <w:t>)的磋商总报价，计划工期</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3"/>
          <w:sz w:val="24"/>
          <w:szCs w:val="24"/>
        </w:rPr>
        <w:t>日历天，</w:t>
      </w:r>
      <w:r>
        <w:rPr>
          <w:rFonts w:hint="eastAsia" w:asciiTheme="minorEastAsia" w:hAnsiTheme="minorEastAsia" w:eastAsiaTheme="minorEastAsia" w:cstheme="minorEastAsia"/>
          <w:spacing w:val="2"/>
          <w:sz w:val="24"/>
          <w:szCs w:val="24"/>
        </w:rPr>
        <w:t>按合同约定实施和完成承包工程，</w:t>
      </w:r>
      <w:r>
        <w:rPr>
          <w:rFonts w:hint="eastAsia" w:asciiTheme="minorEastAsia" w:hAnsiTheme="minorEastAsia" w:eastAsiaTheme="minorEastAsia" w:cstheme="minorEastAsia"/>
          <w:spacing w:val="8"/>
          <w:sz w:val="24"/>
          <w:szCs w:val="24"/>
        </w:rPr>
        <w:t>修补工程中的任何缺陷，工程质量达到</w:t>
      </w:r>
      <w:r>
        <w:rPr>
          <w:rFonts w:hint="eastAsia" w:asciiTheme="minorEastAsia" w:hAnsiTheme="minorEastAsia" w:eastAsiaTheme="minorEastAsia" w:cstheme="minorEastAsia"/>
          <w:spacing w:val="8"/>
          <w:sz w:val="24"/>
          <w:szCs w:val="24"/>
          <w:u w:val="single"/>
        </w:rPr>
        <w:t xml:space="preserve">      </w:t>
      </w:r>
      <w:r>
        <w:rPr>
          <w:rFonts w:hint="eastAsia" w:asciiTheme="minorEastAsia" w:hAnsiTheme="minorEastAsia" w:eastAsiaTheme="minorEastAsia" w:cstheme="minorEastAsia"/>
          <w:spacing w:val="8"/>
          <w:sz w:val="24"/>
          <w:szCs w:val="24"/>
        </w:rPr>
        <w:t>。</w:t>
      </w:r>
    </w:p>
    <w:p w14:paraId="3DA23A90">
      <w:pPr>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2．我方承诺在磋商文件规定的磋商有效期内不修改、撤销响应文件。</w:t>
      </w:r>
    </w:p>
    <w:p w14:paraId="163E8F98">
      <w:pPr>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3．随同本磋商函提交磋商承诺函一份及招标代理费承诺函一份。</w:t>
      </w:r>
    </w:p>
    <w:p w14:paraId="73E7ABD5">
      <w:pPr>
        <w:spacing w:line="360" w:lineRule="auto"/>
        <w:ind w:firstLine="49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4．如我方成交：</w:t>
      </w:r>
    </w:p>
    <w:p w14:paraId="2864BC02">
      <w:pPr>
        <w:spacing w:line="360" w:lineRule="auto"/>
        <w:ind w:firstLine="51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（1）我方承诺在收到成交通知书后，在成交通知书规定的期限内与你方签订合</w:t>
      </w:r>
      <w:r>
        <w:rPr>
          <w:rFonts w:hint="eastAsia" w:asciiTheme="minorEastAsia" w:hAnsiTheme="minorEastAsia" w:eastAsiaTheme="minorEastAsia" w:cstheme="minorEastAsia"/>
          <w:spacing w:val="8"/>
          <w:sz w:val="24"/>
          <w:szCs w:val="24"/>
        </w:rPr>
        <w:t>同。</w:t>
      </w:r>
    </w:p>
    <w:p w14:paraId="672F70BD">
      <w:pPr>
        <w:spacing w:line="360" w:lineRule="auto"/>
        <w:ind w:firstLine="51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（2）随同本磋商函提交的磋商函附录属于</w:t>
      </w:r>
      <w:r>
        <w:rPr>
          <w:rFonts w:hint="eastAsia" w:asciiTheme="minorEastAsia" w:hAnsiTheme="minorEastAsia" w:eastAsiaTheme="minorEastAsia" w:cstheme="minorEastAsia"/>
          <w:spacing w:val="8"/>
          <w:sz w:val="24"/>
          <w:szCs w:val="24"/>
        </w:rPr>
        <w:t>合同文件的组成部分。</w:t>
      </w:r>
    </w:p>
    <w:p w14:paraId="66DF3759">
      <w:pPr>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（3）我方承诺在合同约定的期限内完成并移交全部合同工程。</w:t>
      </w:r>
    </w:p>
    <w:p w14:paraId="60CD687B">
      <w:pPr>
        <w:spacing w:line="360" w:lineRule="auto"/>
        <w:ind w:firstLine="52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5．我方在此声明，所提交的响应文件及有关资料内容完整、真实和准确，且不存在第</w:t>
      </w:r>
      <w:r>
        <w:rPr>
          <w:rFonts w:hint="eastAsia" w:asciiTheme="minorEastAsia" w:hAnsiTheme="minorEastAsia" w:eastAsiaTheme="minorEastAsia" w:cstheme="minorEastAsia"/>
          <w:spacing w:val="5"/>
          <w:sz w:val="24"/>
          <w:szCs w:val="24"/>
        </w:rPr>
        <w:t>二章“供应商须知</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5"/>
          <w:sz w:val="24"/>
          <w:szCs w:val="24"/>
        </w:rPr>
        <w:t>”第1.4.3项规定的任何一种情形。</w:t>
      </w:r>
    </w:p>
    <w:p w14:paraId="694F28EB">
      <w:pPr>
        <w:spacing w:line="360" w:lineRule="auto"/>
        <w:ind w:firstLine="51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9"/>
          <w:sz w:val="24"/>
          <w:szCs w:val="24"/>
        </w:rPr>
        <w:t>其他补充说明）。</w:t>
      </w:r>
    </w:p>
    <w:p w14:paraId="6DADF2CA">
      <w:pPr>
        <w:pStyle w:val="9"/>
        <w:spacing w:line="281" w:lineRule="auto"/>
        <w:rPr>
          <w:rFonts w:asciiTheme="minorEastAsia" w:hAnsiTheme="minorEastAsia" w:eastAsiaTheme="minorEastAsia" w:cstheme="minorEastAsia"/>
          <w:sz w:val="24"/>
          <w:szCs w:val="24"/>
        </w:rPr>
      </w:pPr>
    </w:p>
    <w:p w14:paraId="208BD13B">
      <w:pPr>
        <w:pStyle w:val="9"/>
        <w:spacing w:line="282" w:lineRule="auto"/>
        <w:rPr>
          <w:rFonts w:asciiTheme="minorEastAsia" w:hAnsiTheme="minorEastAsia" w:eastAsiaTheme="minorEastAsia" w:cstheme="minorEastAsia"/>
          <w:sz w:val="24"/>
          <w:szCs w:val="24"/>
        </w:rPr>
      </w:pPr>
    </w:p>
    <w:p w14:paraId="2C1B099B">
      <w:pPr>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17433308">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145F290A">
      <w:pPr>
        <w:spacing w:line="360" w:lineRule="auto"/>
        <w:ind w:firstLine="4032" w:firstLineChars="16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6"/>
          <w:sz w:val="24"/>
          <w:szCs w:val="24"/>
        </w:rPr>
        <w:t>地址：</w:t>
      </w:r>
      <w:r>
        <w:rPr>
          <w:rFonts w:hint="eastAsia" w:asciiTheme="minorEastAsia" w:hAnsiTheme="minorEastAsia" w:eastAsiaTheme="minorEastAsia" w:cstheme="minorEastAsia"/>
          <w:sz w:val="24"/>
          <w:szCs w:val="24"/>
          <w:u w:val="single"/>
        </w:rPr>
        <w:t xml:space="preserve">                     </w:t>
      </w:r>
    </w:p>
    <w:p w14:paraId="775352C3">
      <w:pPr>
        <w:spacing w:line="360" w:lineRule="auto"/>
        <w:ind w:firstLine="4064" w:firstLineChars="16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7"/>
          <w:sz w:val="24"/>
          <w:szCs w:val="24"/>
        </w:rPr>
        <w:t>电话：</w:t>
      </w:r>
      <w:r>
        <w:rPr>
          <w:rFonts w:hint="eastAsia" w:asciiTheme="minorEastAsia" w:hAnsiTheme="minorEastAsia" w:eastAsiaTheme="minorEastAsia" w:cstheme="minorEastAsia"/>
          <w:sz w:val="24"/>
          <w:szCs w:val="24"/>
          <w:u w:val="single"/>
        </w:rPr>
        <w:t xml:space="preserve">                     </w:t>
      </w:r>
    </w:p>
    <w:p w14:paraId="7C34C48B">
      <w:pPr>
        <w:spacing w:line="360" w:lineRule="auto"/>
        <w:ind w:firstLine="4250" w:firstLineChars="17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5228EB6E">
      <w:pPr>
        <w:spacing w:line="228" w:lineRule="auto"/>
        <w:rPr>
          <w:rFonts w:asciiTheme="minorEastAsia" w:hAnsiTheme="minorEastAsia" w:eastAsiaTheme="minorEastAsia" w:cstheme="minorEastAsia"/>
          <w:sz w:val="24"/>
          <w:szCs w:val="24"/>
        </w:rPr>
        <w:sectPr>
          <w:footerReference r:id="rId6" w:type="default"/>
          <w:pgSz w:w="11906" w:h="16838"/>
          <w:pgMar w:top="1701" w:right="1531" w:bottom="1531" w:left="1531" w:header="0" w:footer="986" w:gutter="0"/>
          <w:cols w:space="0" w:num="1"/>
        </w:sectPr>
      </w:pPr>
    </w:p>
    <w:p w14:paraId="23E67E9A">
      <w:pPr>
        <w:spacing w:line="360" w:lineRule="auto"/>
        <w:jc w:val="center"/>
        <w:rPr>
          <w:rFonts w:asciiTheme="minorEastAsia" w:hAnsiTheme="minorEastAsia" w:eastAsiaTheme="minorEastAsia" w:cstheme="minorEastAsia"/>
          <w:b/>
          <w:bCs/>
          <w:sz w:val="24"/>
          <w:szCs w:val="24"/>
        </w:rPr>
      </w:pPr>
      <w:bookmarkStart w:id="744" w:name="bookmark60"/>
      <w:bookmarkEnd w:id="744"/>
      <w:bookmarkStart w:id="745" w:name="bookmark59"/>
      <w:bookmarkEnd w:id="745"/>
      <w:r>
        <w:rPr>
          <w:rFonts w:hint="eastAsia" w:asciiTheme="minorEastAsia" w:hAnsiTheme="minorEastAsia" w:eastAsiaTheme="minorEastAsia" w:cstheme="minorEastAsia"/>
          <w:b/>
          <w:bCs/>
          <w:sz w:val="24"/>
          <w:szCs w:val="24"/>
        </w:rPr>
        <w:t>2.磋商函附录</w:t>
      </w:r>
    </w:p>
    <w:p w14:paraId="54F35364">
      <w:pPr>
        <w:spacing w:line="119" w:lineRule="exact"/>
      </w:pPr>
    </w:p>
    <w:tbl>
      <w:tblPr>
        <w:tblStyle w:val="64"/>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8"/>
        <w:gridCol w:w="1164"/>
        <w:gridCol w:w="1585"/>
        <w:gridCol w:w="1184"/>
        <w:gridCol w:w="1735"/>
      </w:tblGrid>
      <w:tr w14:paraId="51056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7B9067C0">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工程名称</w:t>
            </w:r>
          </w:p>
        </w:tc>
        <w:tc>
          <w:tcPr>
            <w:tcW w:w="5668" w:type="dxa"/>
            <w:gridSpan w:val="4"/>
            <w:vAlign w:val="center"/>
          </w:tcPr>
          <w:p w14:paraId="1F3F49C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9"/>
                <w:sz w:val="24"/>
                <w:szCs w:val="24"/>
                <w:u w:val="single"/>
              </w:rPr>
              <w:t xml:space="preserve">  （项目名称）   </w:t>
            </w:r>
          </w:p>
        </w:tc>
      </w:tr>
      <w:tr w14:paraId="4BA8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178AF2B2">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供应商</w:t>
            </w:r>
          </w:p>
        </w:tc>
        <w:tc>
          <w:tcPr>
            <w:tcW w:w="5668" w:type="dxa"/>
            <w:gridSpan w:val="4"/>
            <w:vAlign w:val="center"/>
          </w:tcPr>
          <w:p w14:paraId="7A351F88">
            <w:pPr>
              <w:adjustRightInd w:val="0"/>
              <w:spacing w:line="288" w:lineRule="auto"/>
              <w:jc w:val="center"/>
              <w:rPr>
                <w:rFonts w:asciiTheme="minorEastAsia" w:hAnsiTheme="minorEastAsia" w:eastAsiaTheme="minorEastAsia" w:cstheme="minorEastAsia"/>
              </w:rPr>
            </w:pPr>
          </w:p>
        </w:tc>
      </w:tr>
      <w:tr w14:paraId="54AF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Merge w:val="restart"/>
            <w:vAlign w:val="center"/>
          </w:tcPr>
          <w:p w14:paraId="19CD6F87">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1164" w:type="dxa"/>
            <w:vAlign w:val="center"/>
          </w:tcPr>
          <w:p w14:paraId="03810242">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1585" w:type="dxa"/>
            <w:vAlign w:val="center"/>
          </w:tcPr>
          <w:p w14:paraId="6A74F82C">
            <w:pPr>
              <w:adjustRightInd w:val="0"/>
              <w:spacing w:line="288" w:lineRule="auto"/>
              <w:jc w:val="center"/>
              <w:rPr>
                <w:rFonts w:asciiTheme="minorEastAsia" w:hAnsiTheme="minorEastAsia" w:eastAsiaTheme="minorEastAsia" w:cstheme="minorEastAsia"/>
              </w:rPr>
            </w:pPr>
          </w:p>
        </w:tc>
        <w:tc>
          <w:tcPr>
            <w:tcW w:w="1184" w:type="dxa"/>
            <w:tcBorders>
              <w:right w:val="single" w:color="auto" w:sz="4" w:space="0"/>
            </w:tcBorders>
            <w:vAlign w:val="center"/>
          </w:tcPr>
          <w:p w14:paraId="14FCEFBD">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级别</w:t>
            </w:r>
          </w:p>
        </w:tc>
        <w:tc>
          <w:tcPr>
            <w:tcW w:w="1735" w:type="dxa"/>
            <w:tcBorders>
              <w:left w:val="single" w:color="auto" w:sz="4" w:space="0"/>
            </w:tcBorders>
            <w:vAlign w:val="center"/>
          </w:tcPr>
          <w:p w14:paraId="14C81B7F">
            <w:pPr>
              <w:adjustRightInd w:val="0"/>
              <w:spacing w:line="288" w:lineRule="auto"/>
              <w:jc w:val="center"/>
              <w:rPr>
                <w:rFonts w:asciiTheme="minorEastAsia" w:hAnsiTheme="minorEastAsia" w:eastAsiaTheme="minorEastAsia" w:cstheme="minorEastAsia"/>
              </w:rPr>
            </w:pPr>
          </w:p>
        </w:tc>
      </w:tr>
      <w:tr w14:paraId="278D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Merge w:val="continue"/>
            <w:vAlign w:val="center"/>
          </w:tcPr>
          <w:p w14:paraId="5A45606D">
            <w:pPr>
              <w:adjustRightInd w:val="0"/>
              <w:spacing w:line="288" w:lineRule="auto"/>
              <w:jc w:val="center"/>
              <w:rPr>
                <w:rFonts w:asciiTheme="minorEastAsia" w:hAnsiTheme="minorEastAsia" w:eastAsiaTheme="minorEastAsia" w:cstheme="minorEastAsia"/>
              </w:rPr>
            </w:pPr>
          </w:p>
        </w:tc>
        <w:tc>
          <w:tcPr>
            <w:tcW w:w="1164" w:type="dxa"/>
            <w:vAlign w:val="center"/>
          </w:tcPr>
          <w:p w14:paraId="562C1C87">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w:t>
            </w:r>
          </w:p>
        </w:tc>
        <w:tc>
          <w:tcPr>
            <w:tcW w:w="1585" w:type="dxa"/>
            <w:vAlign w:val="center"/>
          </w:tcPr>
          <w:p w14:paraId="5F0CAE6B">
            <w:pPr>
              <w:adjustRightInd w:val="0"/>
              <w:spacing w:line="288" w:lineRule="auto"/>
              <w:jc w:val="center"/>
              <w:rPr>
                <w:rFonts w:asciiTheme="minorEastAsia" w:hAnsiTheme="minorEastAsia" w:eastAsiaTheme="minorEastAsia" w:cstheme="minorEastAsia"/>
              </w:rPr>
            </w:pPr>
          </w:p>
        </w:tc>
        <w:tc>
          <w:tcPr>
            <w:tcW w:w="1184" w:type="dxa"/>
            <w:tcBorders>
              <w:right w:val="single" w:color="auto" w:sz="4" w:space="0"/>
            </w:tcBorders>
            <w:vAlign w:val="center"/>
          </w:tcPr>
          <w:p w14:paraId="23838B15">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注册编号</w:t>
            </w:r>
          </w:p>
        </w:tc>
        <w:tc>
          <w:tcPr>
            <w:tcW w:w="1735" w:type="dxa"/>
            <w:tcBorders>
              <w:left w:val="single" w:color="auto" w:sz="4" w:space="0"/>
            </w:tcBorders>
            <w:vAlign w:val="center"/>
          </w:tcPr>
          <w:p w14:paraId="163D7620">
            <w:pPr>
              <w:adjustRightInd w:val="0"/>
              <w:spacing w:line="288" w:lineRule="auto"/>
              <w:jc w:val="center"/>
              <w:rPr>
                <w:rFonts w:asciiTheme="minorEastAsia" w:hAnsiTheme="minorEastAsia" w:eastAsiaTheme="minorEastAsia" w:cstheme="minorEastAsia"/>
              </w:rPr>
            </w:pPr>
          </w:p>
        </w:tc>
      </w:tr>
      <w:tr w14:paraId="76D5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421B4CC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磋商内容</w:t>
            </w:r>
          </w:p>
        </w:tc>
        <w:tc>
          <w:tcPr>
            <w:tcW w:w="5668" w:type="dxa"/>
            <w:gridSpan w:val="4"/>
            <w:vAlign w:val="center"/>
          </w:tcPr>
          <w:p w14:paraId="6ED2FEE5">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我方响应内容满足本项目竞争性磋商文件要求。</w:t>
            </w:r>
          </w:p>
        </w:tc>
      </w:tr>
      <w:tr w14:paraId="0F953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19DE3C2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首次磋商报价</w:t>
            </w:r>
          </w:p>
        </w:tc>
        <w:tc>
          <w:tcPr>
            <w:tcW w:w="2749" w:type="dxa"/>
            <w:gridSpan w:val="2"/>
            <w:vAlign w:val="center"/>
          </w:tcPr>
          <w:p w14:paraId="7901543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（大写）</w:t>
            </w:r>
          </w:p>
        </w:tc>
        <w:tc>
          <w:tcPr>
            <w:tcW w:w="2919" w:type="dxa"/>
            <w:gridSpan w:val="2"/>
            <w:vAlign w:val="center"/>
          </w:tcPr>
          <w:p w14:paraId="107935A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（小写）</w:t>
            </w:r>
          </w:p>
        </w:tc>
      </w:tr>
      <w:tr w14:paraId="7904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01BFF052">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质量标准</w:t>
            </w:r>
          </w:p>
        </w:tc>
        <w:tc>
          <w:tcPr>
            <w:tcW w:w="5668" w:type="dxa"/>
            <w:gridSpan w:val="4"/>
            <w:vAlign w:val="center"/>
          </w:tcPr>
          <w:p w14:paraId="7036E43D">
            <w:pPr>
              <w:adjustRightInd w:val="0"/>
              <w:spacing w:line="288" w:lineRule="auto"/>
              <w:jc w:val="center"/>
              <w:rPr>
                <w:rFonts w:asciiTheme="minorEastAsia" w:hAnsiTheme="minorEastAsia" w:eastAsiaTheme="minorEastAsia" w:cstheme="minorEastAsia"/>
              </w:rPr>
            </w:pPr>
          </w:p>
        </w:tc>
      </w:tr>
      <w:tr w14:paraId="27A3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7307A810">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计划工期</w:t>
            </w:r>
          </w:p>
        </w:tc>
        <w:tc>
          <w:tcPr>
            <w:tcW w:w="5668" w:type="dxa"/>
            <w:gridSpan w:val="4"/>
            <w:vAlign w:val="center"/>
          </w:tcPr>
          <w:p w14:paraId="30D3C890">
            <w:pPr>
              <w:adjustRightInd w:val="0"/>
              <w:spacing w:line="288" w:lineRule="auto"/>
              <w:jc w:val="center"/>
              <w:rPr>
                <w:rFonts w:asciiTheme="minorEastAsia" w:hAnsiTheme="minorEastAsia" w:eastAsiaTheme="minorEastAsia" w:cstheme="minorEastAsia"/>
              </w:rPr>
            </w:pPr>
          </w:p>
        </w:tc>
      </w:tr>
      <w:tr w14:paraId="5E3C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3C70F0C9">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质保期</w:t>
            </w:r>
          </w:p>
        </w:tc>
        <w:tc>
          <w:tcPr>
            <w:tcW w:w="5668" w:type="dxa"/>
            <w:gridSpan w:val="4"/>
            <w:vAlign w:val="center"/>
          </w:tcPr>
          <w:p w14:paraId="5059044F">
            <w:pPr>
              <w:adjustRightInd w:val="0"/>
              <w:spacing w:line="288" w:lineRule="auto"/>
              <w:jc w:val="center"/>
              <w:rPr>
                <w:rFonts w:asciiTheme="minorEastAsia" w:hAnsiTheme="minorEastAsia" w:eastAsiaTheme="minorEastAsia" w:cstheme="minorEastAsia"/>
              </w:rPr>
            </w:pPr>
          </w:p>
        </w:tc>
      </w:tr>
      <w:tr w14:paraId="1A03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53E46AD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磋商有效期</w:t>
            </w:r>
          </w:p>
        </w:tc>
        <w:tc>
          <w:tcPr>
            <w:tcW w:w="5668" w:type="dxa"/>
            <w:gridSpan w:val="4"/>
            <w:vAlign w:val="center"/>
          </w:tcPr>
          <w:p w14:paraId="1037652F">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提交首次响应文件截止之日起 60 日历天</w:t>
            </w:r>
          </w:p>
        </w:tc>
      </w:tr>
      <w:tr w14:paraId="0E5A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858" w:type="dxa"/>
            <w:vAlign w:val="center"/>
          </w:tcPr>
          <w:p w14:paraId="7A159F5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承诺</w:t>
            </w:r>
          </w:p>
        </w:tc>
        <w:tc>
          <w:tcPr>
            <w:tcW w:w="5668" w:type="dxa"/>
            <w:gridSpan w:val="4"/>
            <w:vAlign w:val="center"/>
          </w:tcPr>
          <w:p w14:paraId="3E96D35D">
            <w:pPr>
              <w:spacing w:line="360" w:lineRule="auto"/>
              <w:jc w:val="center"/>
              <w:rPr>
                <w:rFonts w:ascii="Arial"/>
              </w:rPr>
            </w:pPr>
          </w:p>
        </w:tc>
      </w:tr>
      <w:tr w14:paraId="408C2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526" w:type="dxa"/>
            <w:gridSpan w:val="5"/>
            <w:vAlign w:val="center"/>
          </w:tcPr>
          <w:p w14:paraId="0F6705E0">
            <w:pPr>
              <w:pStyle w:val="63"/>
              <w:spacing w:line="360" w:lineRule="auto"/>
              <w:jc w:val="left"/>
            </w:pPr>
            <w:r>
              <w:rPr>
                <w:spacing w:val="11"/>
              </w:rPr>
              <w:t>备注：供应商在磋商文件中规定的实质性要求</w:t>
            </w:r>
            <w:r>
              <w:rPr>
                <w:spacing w:val="10"/>
              </w:rPr>
              <w:t>和条件的基础上，可做出其他有利于采购人</w:t>
            </w:r>
            <w:r>
              <w:rPr>
                <w:spacing w:val="7"/>
              </w:rPr>
              <w:t>的承诺。此类承诺可在本表中予以补充填写，可另附页。</w:t>
            </w:r>
          </w:p>
        </w:tc>
      </w:tr>
    </w:tbl>
    <w:p w14:paraId="00BEC831">
      <w:pPr>
        <w:pStyle w:val="9"/>
        <w:spacing w:line="373" w:lineRule="auto"/>
      </w:pPr>
    </w:p>
    <w:p w14:paraId="6931A053">
      <w:pPr>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09F438B4">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25D7C77C">
      <w:pPr>
        <w:spacing w:line="360" w:lineRule="auto"/>
        <w:ind w:firstLine="4500" w:firstLineChars="1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670B2F18">
      <w:pPr>
        <w:rPr>
          <w:b/>
          <w:bCs/>
          <w:sz w:val="28"/>
          <w:szCs w:val="28"/>
        </w:rPr>
      </w:pPr>
      <w:r>
        <w:rPr>
          <w:rFonts w:hint="eastAsia"/>
          <w:b/>
          <w:bCs/>
          <w:sz w:val="28"/>
          <w:szCs w:val="28"/>
        </w:rPr>
        <w:br w:type="page"/>
      </w:r>
    </w:p>
    <w:p w14:paraId="6CB94B47">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3.主材清单表</w:t>
      </w:r>
    </w:p>
    <w:p w14:paraId="660B8A82">
      <w:pPr>
        <w:spacing w:line="119" w:lineRule="exact"/>
      </w:pPr>
    </w:p>
    <w:tbl>
      <w:tblPr>
        <w:tblStyle w:val="64"/>
        <w:tblW w:w="955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952"/>
        <w:gridCol w:w="952"/>
        <w:gridCol w:w="952"/>
        <w:gridCol w:w="951"/>
        <w:gridCol w:w="951"/>
        <w:gridCol w:w="952"/>
        <w:gridCol w:w="952"/>
        <w:gridCol w:w="965"/>
        <w:gridCol w:w="965"/>
      </w:tblGrid>
      <w:tr w14:paraId="669E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63" w:type="dxa"/>
            <w:tcBorders>
              <w:top w:val="single" w:color="000000" w:sz="10" w:space="0"/>
              <w:left w:val="single" w:color="000000" w:sz="10" w:space="0"/>
              <w:bottom w:val="single" w:color="000000" w:sz="6" w:space="0"/>
            </w:tcBorders>
            <w:vAlign w:val="center"/>
          </w:tcPr>
          <w:p w14:paraId="0028C61F">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952" w:type="dxa"/>
            <w:tcBorders>
              <w:top w:val="single" w:color="000000" w:sz="10" w:space="0"/>
              <w:bottom w:val="single" w:color="000000" w:sz="6" w:space="0"/>
            </w:tcBorders>
            <w:vAlign w:val="center"/>
          </w:tcPr>
          <w:p w14:paraId="5D91313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设备名称</w:t>
            </w:r>
          </w:p>
        </w:tc>
        <w:tc>
          <w:tcPr>
            <w:tcW w:w="952" w:type="dxa"/>
            <w:tcBorders>
              <w:top w:val="single" w:color="000000" w:sz="10" w:space="0"/>
              <w:bottom w:val="single" w:color="000000" w:sz="6" w:space="0"/>
            </w:tcBorders>
            <w:vAlign w:val="center"/>
          </w:tcPr>
          <w:p w14:paraId="689D941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品牌</w:t>
            </w:r>
          </w:p>
        </w:tc>
        <w:tc>
          <w:tcPr>
            <w:tcW w:w="952" w:type="dxa"/>
            <w:tcBorders>
              <w:top w:val="single" w:color="000000" w:sz="10" w:space="0"/>
              <w:bottom w:val="single" w:color="000000" w:sz="6" w:space="0"/>
            </w:tcBorders>
            <w:vAlign w:val="center"/>
          </w:tcPr>
          <w:p w14:paraId="50B216DF">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规格型号</w:t>
            </w:r>
          </w:p>
        </w:tc>
        <w:tc>
          <w:tcPr>
            <w:tcW w:w="951" w:type="dxa"/>
            <w:tcBorders>
              <w:top w:val="single" w:color="000000" w:sz="10" w:space="0"/>
              <w:bottom w:val="single" w:color="000000" w:sz="6" w:space="0"/>
            </w:tcBorders>
            <w:vAlign w:val="center"/>
          </w:tcPr>
          <w:p w14:paraId="2CFD32C5">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生产厂家</w:t>
            </w:r>
          </w:p>
        </w:tc>
        <w:tc>
          <w:tcPr>
            <w:tcW w:w="951" w:type="dxa"/>
            <w:tcBorders>
              <w:top w:val="single" w:color="000000" w:sz="10" w:space="0"/>
              <w:bottom w:val="single" w:color="000000" w:sz="6" w:space="0"/>
            </w:tcBorders>
            <w:vAlign w:val="center"/>
          </w:tcPr>
          <w:p w14:paraId="57722553">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c>
          <w:tcPr>
            <w:tcW w:w="952" w:type="dxa"/>
            <w:tcBorders>
              <w:top w:val="single" w:color="000000" w:sz="10" w:space="0"/>
              <w:bottom w:val="single" w:color="000000" w:sz="6" w:space="0"/>
            </w:tcBorders>
            <w:vAlign w:val="center"/>
          </w:tcPr>
          <w:p w14:paraId="172D130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952" w:type="dxa"/>
            <w:tcBorders>
              <w:top w:val="single" w:color="000000" w:sz="10" w:space="0"/>
              <w:bottom w:val="single" w:color="000000" w:sz="6" w:space="0"/>
            </w:tcBorders>
            <w:vAlign w:val="center"/>
          </w:tcPr>
          <w:p w14:paraId="00DDBAC2">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单价（元）</w:t>
            </w:r>
          </w:p>
        </w:tc>
        <w:tc>
          <w:tcPr>
            <w:tcW w:w="965" w:type="dxa"/>
            <w:tcBorders>
              <w:top w:val="single" w:color="000000" w:sz="10" w:space="0"/>
              <w:bottom w:val="single" w:color="000000" w:sz="6" w:space="0"/>
              <w:right w:val="single" w:color="000000" w:sz="10" w:space="0"/>
            </w:tcBorders>
            <w:vAlign w:val="center"/>
          </w:tcPr>
          <w:p w14:paraId="15B4808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965" w:type="dxa"/>
            <w:tcBorders>
              <w:top w:val="single" w:color="000000" w:sz="10" w:space="0"/>
              <w:bottom w:val="single" w:color="000000" w:sz="6" w:space="0"/>
              <w:right w:val="single" w:color="000000" w:sz="10" w:space="0"/>
            </w:tcBorders>
            <w:vAlign w:val="center"/>
          </w:tcPr>
          <w:p w14:paraId="2F86705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67D35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63" w:type="dxa"/>
            <w:tcBorders>
              <w:top w:val="single" w:color="000000" w:sz="6" w:space="0"/>
              <w:left w:val="single" w:color="000000" w:sz="10" w:space="0"/>
            </w:tcBorders>
            <w:vAlign w:val="center"/>
          </w:tcPr>
          <w:p w14:paraId="206F2A32">
            <w:pPr>
              <w:adjustRightInd w:val="0"/>
              <w:spacing w:line="288" w:lineRule="auto"/>
              <w:jc w:val="center"/>
              <w:rPr>
                <w:rFonts w:asciiTheme="minorEastAsia" w:hAnsiTheme="minorEastAsia" w:eastAsiaTheme="minorEastAsia" w:cstheme="minorEastAsia"/>
              </w:rPr>
            </w:pPr>
          </w:p>
        </w:tc>
        <w:tc>
          <w:tcPr>
            <w:tcW w:w="952" w:type="dxa"/>
            <w:tcBorders>
              <w:top w:val="single" w:color="000000" w:sz="6" w:space="0"/>
            </w:tcBorders>
            <w:vAlign w:val="center"/>
          </w:tcPr>
          <w:p w14:paraId="68077D5A">
            <w:pPr>
              <w:adjustRightInd w:val="0"/>
              <w:spacing w:line="288" w:lineRule="auto"/>
              <w:jc w:val="center"/>
              <w:rPr>
                <w:rFonts w:asciiTheme="minorEastAsia" w:hAnsiTheme="minorEastAsia" w:eastAsiaTheme="minorEastAsia" w:cstheme="minorEastAsia"/>
              </w:rPr>
            </w:pPr>
          </w:p>
        </w:tc>
        <w:tc>
          <w:tcPr>
            <w:tcW w:w="952" w:type="dxa"/>
            <w:tcBorders>
              <w:top w:val="single" w:color="000000" w:sz="6" w:space="0"/>
            </w:tcBorders>
            <w:vAlign w:val="center"/>
          </w:tcPr>
          <w:p w14:paraId="1B9313A0">
            <w:pPr>
              <w:adjustRightInd w:val="0"/>
              <w:spacing w:line="288" w:lineRule="auto"/>
              <w:jc w:val="center"/>
              <w:rPr>
                <w:rFonts w:asciiTheme="minorEastAsia" w:hAnsiTheme="minorEastAsia" w:eastAsiaTheme="minorEastAsia" w:cstheme="minorEastAsia"/>
              </w:rPr>
            </w:pPr>
          </w:p>
        </w:tc>
        <w:tc>
          <w:tcPr>
            <w:tcW w:w="952" w:type="dxa"/>
            <w:tcBorders>
              <w:top w:val="single" w:color="000000" w:sz="6" w:space="0"/>
            </w:tcBorders>
            <w:vAlign w:val="center"/>
          </w:tcPr>
          <w:p w14:paraId="7D2164FC">
            <w:pPr>
              <w:adjustRightInd w:val="0"/>
              <w:spacing w:line="288" w:lineRule="auto"/>
              <w:jc w:val="center"/>
              <w:rPr>
                <w:rFonts w:asciiTheme="minorEastAsia" w:hAnsiTheme="minorEastAsia" w:eastAsiaTheme="minorEastAsia" w:cstheme="minorEastAsia"/>
              </w:rPr>
            </w:pPr>
          </w:p>
        </w:tc>
        <w:tc>
          <w:tcPr>
            <w:tcW w:w="951" w:type="dxa"/>
            <w:tcBorders>
              <w:top w:val="single" w:color="000000" w:sz="6" w:space="0"/>
            </w:tcBorders>
            <w:vAlign w:val="center"/>
          </w:tcPr>
          <w:p w14:paraId="44C31B0C">
            <w:pPr>
              <w:adjustRightInd w:val="0"/>
              <w:spacing w:line="288" w:lineRule="auto"/>
              <w:jc w:val="center"/>
              <w:rPr>
                <w:rFonts w:asciiTheme="minorEastAsia" w:hAnsiTheme="minorEastAsia" w:eastAsiaTheme="minorEastAsia" w:cstheme="minorEastAsia"/>
              </w:rPr>
            </w:pPr>
          </w:p>
        </w:tc>
        <w:tc>
          <w:tcPr>
            <w:tcW w:w="951" w:type="dxa"/>
            <w:tcBorders>
              <w:top w:val="single" w:color="000000" w:sz="6" w:space="0"/>
            </w:tcBorders>
            <w:vAlign w:val="center"/>
          </w:tcPr>
          <w:p w14:paraId="4DC3A11E">
            <w:pPr>
              <w:adjustRightInd w:val="0"/>
              <w:spacing w:line="288" w:lineRule="auto"/>
              <w:jc w:val="center"/>
              <w:rPr>
                <w:rFonts w:asciiTheme="minorEastAsia" w:hAnsiTheme="minorEastAsia" w:eastAsiaTheme="minorEastAsia" w:cstheme="minorEastAsia"/>
              </w:rPr>
            </w:pPr>
          </w:p>
        </w:tc>
        <w:tc>
          <w:tcPr>
            <w:tcW w:w="952" w:type="dxa"/>
            <w:tcBorders>
              <w:top w:val="single" w:color="000000" w:sz="6" w:space="0"/>
            </w:tcBorders>
            <w:vAlign w:val="center"/>
          </w:tcPr>
          <w:p w14:paraId="668DA1A9">
            <w:pPr>
              <w:adjustRightInd w:val="0"/>
              <w:spacing w:line="288" w:lineRule="auto"/>
              <w:jc w:val="center"/>
              <w:rPr>
                <w:rFonts w:asciiTheme="minorEastAsia" w:hAnsiTheme="minorEastAsia" w:eastAsiaTheme="minorEastAsia" w:cstheme="minorEastAsia"/>
              </w:rPr>
            </w:pPr>
          </w:p>
        </w:tc>
        <w:tc>
          <w:tcPr>
            <w:tcW w:w="952" w:type="dxa"/>
            <w:tcBorders>
              <w:top w:val="single" w:color="000000" w:sz="6" w:space="0"/>
            </w:tcBorders>
            <w:vAlign w:val="center"/>
          </w:tcPr>
          <w:p w14:paraId="2956BCCD">
            <w:pPr>
              <w:adjustRightInd w:val="0"/>
              <w:spacing w:line="288" w:lineRule="auto"/>
              <w:jc w:val="center"/>
              <w:rPr>
                <w:rFonts w:asciiTheme="minorEastAsia" w:hAnsiTheme="minorEastAsia" w:eastAsiaTheme="minorEastAsia" w:cstheme="minorEastAsia"/>
              </w:rPr>
            </w:pPr>
          </w:p>
        </w:tc>
        <w:tc>
          <w:tcPr>
            <w:tcW w:w="965" w:type="dxa"/>
            <w:tcBorders>
              <w:top w:val="single" w:color="000000" w:sz="6" w:space="0"/>
              <w:right w:val="single" w:color="000000" w:sz="10" w:space="0"/>
            </w:tcBorders>
            <w:vAlign w:val="center"/>
          </w:tcPr>
          <w:p w14:paraId="400CFB0C">
            <w:pPr>
              <w:adjustRightInd w:val="0"/>
              <w:spacing w:line="288" w:lineRule="auto"/>
              <w:jc w:val="center"/>
              <w:rPr>
                <w:rFonts w:asciiTheme="minorEastAsia" w:hAnsiTheme="minorEastAsia" w:eastAsiaTheme="minorEastAsia" w:cstheme="minorEastAsia"/>
              </w:rPr>
            </w:pPr>
          </w:p>
        </w:tc>
        <w:tc>
          <w:tcPr>
            <w:tcW w:w="965" w:type="dxa"/>
            <w:tcBorders>
              <w:top w:val="single" w:color="000000" w:sz="6" w:space="0"/>
              <w:right w:val="single" w:color="000000" w:sz="10" w:space="0"/>
            </w:tcBorders>
            <w:vAlign w:val="center"/>
          </w:tcPr>
          <w:p w14:paraId="233183CA">
            <w:pPr>
              <w:adjustRightInd w:val="0"/>
              <w:spacing w:line="288" w:lineRule="auto"/>
              <w:jc w:val="center"/>
              <w:rPr>
                <w:rFonts w:asciiTheme="minorEastAsia" w:hAnsiTheme="minorEastAsia" w:eastAsiaTheme="minorEastAsia" w:cstheme="minorEastAsia"/>
              </w:rPr>
            </w:pPr>
          </w:p>
        </w:tc>
      </w:tr>
      <w:tr w14:paraId="3C14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63" w:type="dxa"/>
            <w:tcBorders>
              <w:left w:val="single" w:color="000000" w:sz="10" w:space="0"/>
            </w:tcBorders>
            <w:vAlign w:val="center"/>
          </w:tcPr>
          <w:p w14:paraId="64AB8ECD">
            <w:pPr>
              <w:adjustRightInd w:val="0"/>
              <w:spacing w:line="288" w:lineRule="auto"/>
              <w:jc w:val="center"/>
              <w:rPr>
                <w:rFonts w:asciiTheme="minorEastAsia" w:hAnsiTheme="minorEastAsia" w:eastAsiaTheme="minorEastAsia" w:cstheme="minorEastAsia"/>
              </w:rPr>
            </w:pPr>
          </w:p>
        </w:tc>
        <w:tc>
          <w:tcPr>
            <w:tcW w:w="952" w:type="dxa"/>
            <w:vAlign w:val="center"/>
          </w:tcPr>
          <w:p w14:paraId="1BA50B29">
            <w:pPr>
              <w:adjustRightInd w:val="0"/>
              <w:spacing w:line="288" w:lineRule="auto"/>
              <w:jc w:val="center"/>
              <w:rPr>
                <w:rFonts w:asciiTheme="minorEastAsia" w:hAnsiTheme="minorEastAsia" w:eastAsiaTheme="minorEastAsia" w:cstheme="minorEastAsia"/>
              </w:rPr>
            </w:pPr>
          </w:p>
        </w:tc>
        <w:tc>
          <w:tcPr>
            <w:tcW w:w="952" w:type="dxa"/>
            <w:vAlign w:val="center"/>
          </w:tcPr>
          <w:p w14:paraId="52501FD2">
            <w:pPr>
              <w:adjustRightInd w:val="0"/>
              <w:spacing w:line="288" w:lineRule="auto"/>
              <w:jc w:val="center"/>
              <w:rPr>
                <w:rFonts w:asciiTheme="minorEastAsia" w:hAnsiTheme="minorEastAsia" w:eastAsiaTheme="minorEastAsia" w:cstheme="minorEastAsia"/>
              </w:rPr>
            </w:pPr>
          </w:p>
        </w:tc>
        <w:tc>
          <w:tcPr>
            <w:tcW w:w="952" w:type="dxa"/>
            <w:vAlign w:val="center"/>
          </w:tcPr>
          <w:p w14:paraId="56D06AF4">
            <w:pPr>
              <w:adjustRightInd w:val="0"/>
              <w:spacing w:line="288" w:lineRule="auto"/>
              <w:jc w:val="center"/>
              <w:rPr>
                <w:rFonts w:asciiTheme="minorEastAsia" w:hAnsiTheme="minorEastAsia" w:eastAsiaTheme="minorEastAsia" w:cstheme="minorEastAsia"/>
              </w:rPr>
            </w:pPr>
          </w:p>
        </w:tc>
        <w:tc>
          <w:tcPr>
            <w:tcW w:w="951" w:type="dxa"/>
            <w:vAlign w:val="center"/>
          </w:tcPr>
          <w:p w14:paraId="6684116B">
            <w:pPr>
              <w:adjustRightInd w:val="0"/>
              <w:spacing w:line="288" w:lineRule="auto"/>
              <w:jc w:val="center"/>
              <w:rPr>
                <w:rFonts w:asciiTheme="minorEastAsia" w:hAnsiTheme="minorEastAsia" w:eastAsiaTheme="minorEastAsia" w:cstheme="minorEastAsia"/>
              </w:rPr>
            </w:pPr>
          </w:p>
        </w:tc>
        <w:tc>
          <w:tcPr>
            <w:tcW w:w="951" w:type="dxa"/>
            <w:vAlign w:val="center"/>
          </w:tcPr>
          <w:p w14:paraId="4F4DC1FD">
            <w:pPr>
              <w:adjustRightInd w:val="0"/>
              <w:spacing w:line="288" w:lineRule="auto"/>
              <w:jc w:val="center"/>
              <w:rPr>
                <w:rFonts w:asciiTheme="minorEastAsia" w:hAnsiTheme="minorEastAsia" w:eastAsiaTheme="minorEastAsia" w:cstheme="minorEastAsia"/>
              </w:rPr>
            </w:pPr>
          </w:p>
        </w:tc>
        <w:tc>
          <w:tcPr>
            <w:tcW w:w="952" w:type="dxa"/>
            <w:vAlign w:val="center"/>
          </w:tcPr>
          <w:p w14:paraId="587D91FF">
            <w:pPr>
              <w:adjustRightInd w:val="0"/>
              <w:spacing w:line="288" w:lineRule="auto"/>
              <w:jc w:val="center"/>
              <w:rPr>
                <w:rFonts w:asciiTheme="minorEastAsia" w:hAnsiTheme="minorEastAsia" w:eastAsiaTheme="minorEastAsia" w:cstheme="minorEastAsia"/>
              </w:rPr>
            </w:pPr>
          </w:p>
        </w:tc>
        <w:tc>
          <w:tcPr>
            <w:tcW w:w="952" w:type="dxa"/>
            <w:vAlign w:val="center"/>
          </w:tcPr>
          <w:p w14:paraId="7A812507">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3A7C76E8">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A19494E">
            <w:pPr>
              <w:adjustRightInd w:val="0"/>
              <w:spacing w:line="288" w:lineRule="auto"/>
              <w:jc w:val="center"/>
              <w:rPr>
                <w:rFonts w:asciiTheme="minorEastAsia" w:hAnsiTheme="minorEastAsia" w:eastAsiaTheme="minorEastAsia" w:cstheme="minorEastAsia"/>
              </w:rPr>
            </w:pPr>
          </w:p>
        </w:tc>
      </w:tr>
      <w:tr w14:paraId="4E817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0ADB71EB">
            <w:pPr>
              <w:adjustRightInd w:val="0"/>
              <w:spacing w:line="288" w:lineRule="auto"/>
              <w:jc w:val="center"/>
              <w:rPr>
                <w:rFonts w:asciiTheme="minorEastAsia" w:hAnsiTheme="minorEastAsia" w:eastAsiaTheme="minorEastAsia" w:cstheme="minorEastAsia"/>
              </w:rPr>
            </w:pPr>
          </w:p>
        </w:tc>
        <w:tc>
          <w:tcPr>
            <w:tcW w:w="952" w:type="dxa"/>
            <w:vAlign w:val="center"/>
          </w:tcPr>
          <w:p w14:paraId="69AB476A">
            <w:pPr>
              <w:adjustRightInd w:val="0"/>
              <w:spacing w:line="288" w:lineRule="auto"/>
              <w:jc w:val="center"/>
              <w:rPr>
                <w:rFonts w:asciiTheme="minorEastAsia" w:hAnsiTheme="minorEastAsia" w:eastAsiaTheme="minorEastAsia" w:cstheme="minorEastAsia"/>
              </w:rPr>
            </w:pPr>
          </w:p>
        </w:tc>
        <w:tc>
          <w:tcPr>
            <w:tcW w:w="952" w:type="dxa"/>
            <w:vAlign w:val="center"/>
          </w:tcPr>
          <w:p w14:paraId="5F945EE2">
            <w:pPr>
              <w:adjustRightInd w:val="0"/>
              <w:spacing w:line="288" w:lineRule="auto"/>
              <w:jc w:val="center"/>
              <w:rPr>
                <w:rFonts w:asciiTheme="minorEastAsia" w:hAnsiTheme="minorEastAsia" w:eastAsiaTheme="minorEastAsia" w:cstheme="minorEastAsia"/>
              </w:rPr>
            </w:pPr>
          </w:p>
        </w:tc>
        <w:tc>
          <w:tcPr>
            <w:tcW w:w="952" w:type="dxa"/>
            <w:vAlign w:val="center"/>
          </w:tcPr>
          <w:p w14:paraId="737CE0A4">
            <w:pPr>
              <w:adjustRightInd w:val="0"/>
              <w:spacing w:line="288" w:lineRule="auto"/>
              <w:jc w:val="center"/>
              <w:rPr>
                <w:rFonts w:asciiTheme="minorEastAsia" w:hAnsiTheme="minorEastAsia" w:eastAsiaTheme="minorEastAsia" w:cstheme="minorEastAsia"/>
              </w:rPr>
            </w:pPr>
          </w:p>
        </w:tc>
        <w:tc>
          <w:tcPr>
            <w:tcW w:w="951" w:type="dxa"/>
            <w:vAlign w:val="center"/>
          </w:tcPr>
          <w:p w14:paraId="1EA01461">
            <w:pPr>
              <w:adjustRightInd w:val="0"/>
              <w:spacing w:line="288" w:lineRule="auto"/>
              <w:jc w:val="center"/>
              <w:rPr>
                <w:rFonts w:asciiTheme="minorEastAsia" w:hAnsiTheme="minorEastAsia" w:eastAsiaTheme="minorEastAsia" w:cstheme="minorEastAsia"/>
              </w:rPr>
            </w:pPr>
          </w:p>
        </w:tc>
        <w:tc>
          <w:tcPr>
            <w:tcW w:w="951" w:type="dxa"/>
            <w:vAlign w:val="center"/>
          </w:tcPr>
          <w:p w14:paraId="41EAA08B">
            <w:pPr>
              <w:adjustRightInd w:val="0"/>
              <w:spacing w:line="288" w:lineRule="auto"/>
              <w:jc w:val="center"/>
              <w:rPr>
                <w:rFonts w:asciiTheme="minorEastAsia" w:hAnsiTheme="minorEastAsia" w:eastAsiaTheme="minorEastAsia" w:cstheme="minorEastAsia"/>
              </w:rPr>
            </w:pPr>
          </w:p>
        </w:tc>
        <w:tc>
          <w:tcPr>
            <w:tcW w:w="952" w:type="dxa"/>
            <w:vAlign w:val="center"/>
          </w:tcPr>
          <w:p w14:paraId="04B3B9AC">
            <w:pPr>
              <w:adjustRightInd w:val="0"/>
              <w:spacing w:line="288" w:lineRule="auto"/>
              <w:jc w:val="center"/>
              <w:rPr>
                <w:rFonts w:asciiTheme="minorEastAsia" w:hAnsiTheme="minorEastAsia" w:eastAsiaTheme="minorEastAsia" w:cstheme="minorEastAsia"/>
              </w:rPr>
            </w:pPr>
          </w:p>
        </w:tc>
        <w:tc>
          <w:tcPr>
            <w:tcW w:w="952" w:type="dxa"/>
            <w:vAlign w:val="center"/>
          </w:tcPr>
          <w:p w14:paraId="07EEC585">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E9B8EEB">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2A015DD">
            <w:pPr>
              <w:adjustRightInd w:val="0"/>
              <w:spacing w:line="288" w:lineRule="auto"/>
              <w:jc w:val="center"/>
              <w:rPr>
                <w:rFonts w:asciiTheme="minorEastAsia" w:hAnsiTheme="minorEastAsia" w:eastAsiaTheme="minorEastAsia" w:cstheme="minorEastAsia"/>
              </w:rPr>
            </w:pPr>
          </w:p>
        </w:tc>
      </w:tr>
      <w:tr w14:paraId="005F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49CA50B2">
            <w:pPr>
              <w:adjustRightInd w:val="0"/>
              <w:spacing w:line="288" w:lineRule="auto"/>
              <w:jc w:val="center"/>
              <w:rPr>
                <w:rFonts w:asciiTheme="minorEastAsia" w:hAnsiTheme="minorEastAsia" w:eastAsiaTheme="minorEastAsia" w:cstheme="minorEastAsia"/>
              </w:rPr>
            </w:pPr>
          </w:p>
        </w:tc>
        <w:tc>
          <w:tcPr>
            <w:tcW w:w="952" w:type="dxa"/>
            <w:vAlign w:val="center"/>
          </w:tcPr>
          <w:p w14:paraId="2E4C6199">
            <w:pPr>
              <w:adjustRightInd w:val="0"/>
              <w:spacing w:line="288" w:lineRule="auto"/>
              <w:jc w:val="center"/>
              <w:rPr>
                <w:rFonts w:asciiTheme="minorEastAsia" w:hAnsiTheme="minorEastAsia" w:eastAsiaTheme="minorEastAsia" w:cstheme="minorEastAsia"/>
              </w:rPr>
            </w:pPr>
          </w:p>
        </w:tc>
        <w:tc>
          <w:tcPr>
            <w:tcW w:w="952" w:type="dxa"/>
            <w:vAlign w:val="center"/>
          </w:tcPr>
          <w:p w14:paraId="4741BF05">
            <w:pPr>
              <w:adjustRightInd w:val="0"/>
              <w:spacing w:line="288" w:lineRule="auto"/>
              <w:jc w:val="center"/>
              <w:rPr>
                <w:rFonts w:asciiTheme="minorEastAsia" w:hAnsiTheme="minorEastAsia" w:eastAsiaTheme="minorEastAsia" w:cstheme="minorEastAsia"/>
              </w:rPr>
            </w:pPr>
          </w:p>
        </w:tc>
        <w:tc>
          <w:tcPr>
            <w:tcW w:w="952" w:type="dxa"/>
            <w:vAlign w:val="center"/>
          </w:tcPr>
          <w:p w14:paraId="20577285">
            <w:pPr>
              <w:adjustRightInd w:val="0"/>
              <w:spacing w:line="288" w:lineRule="auto"/>
              <w:jc w:val="center"/>
              <w:rPr>
                <w:rFonts w:asciiTheme="minorEastAsia" w:hAnsiTheme="minorEastAsia" w:eastAsiaTheme="minorEastAsia" w:cstheme="minorEastAsia"/>
              </w:rPr>
            </w:pPr>
          </w:p>
        </w:tc>
        <w:tc>
          <w:tcPr>
            <w:tcW w:w="951" w:type="dxa"/>
            <w:vAlign w:val="center"/>
          </w:tcPr>
          <w:p w14:paraId="24A4D1A8">
            <w:pPr>
              <w:adjustRightInd w:val="0"/>
              <w:spacing w:line="288" w:lineRule="auto"/>
              <w:jc w:val="center"/>
              <w:rPr>
                <w:rFonts w:asciiTheme="minorEastAsia" w:hAnsiTheme="minorEastAsia" w:eastAsiaTheme="minorEastAsia" w:cstheme="minorEastAsia"/>
              </w:rPr>
            </w:pPr>
          </w:p>
        </w:tc>
        <w:tc>
          <w:tcPr>
            <w:tcW w:w="951" w:type="dxa"/>
            <w:vAlign w:val="center"/>
          </w:tcPr>
          <w:p w14:paraId="510456C3">
            <w:pPr>
              <w:adjustRightInd w:val="0"/>
              <w:spacing w:line="288" w:lineRule="auto"/>
              <w:jc w:val="center"/>
              <w:rPr>
                <w:rFonts w:asciiTheme="minorEastAsia" w:hAnsiTheme="minorEastAsia" w:eastAsiaTheme="minorEastAsia" w:cstheme="minorEastAsia"/>
              </w:rPr>
            </w:pPr>
          </w:p>
        </w:tc>
        <w:tc>
          <w:tcPr>
            <w:tcW w:w="952" w:type="dxa"/>
            <w:vAlign w:val="center"/>
          </w:tcPr>
          <w:p w14:paraId="797BC6BF">
            <w:pPr>
              <w:adjustRightInd w:val="0"/>
              <w:spacing w:line="288" w:lineRule="auto"/>
              <w:jc w:val="center"/>
              <w:rPr>
                <w:rFonts w:asciiTheme="minorEastAsia" w:hAnsiTheme="minorEastAsia" w:eastAsiaTheme="minorEastAsia" w:cstheme="minorEastAsia"/>
              </w:rPr>
            </w:pPr>
          </w:p>
        </w:tc>
        <w:tc>
          <w:tcPr>
            <w:tcW w:w="952" w:type="dxa"/>
            <w:vAlign w:val="center"/>
          </w:tcPr>
          <w:p w14:paraId="050B2906">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4C130D51">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771E7939">
            <w:pPr>
              <w:adjustRightInd w:val="0"/>
              <w:spacing w:line="288" w:lineRule="auto"/>
              <w:jc w:val="center"/>
              <w:rPr>
                <w:rFonts w:asciiTheme="minorEastAsia" w:hAnsiTheme="minorEastAsia" w:eastAsiaTheme="minorEastAsia" w:cstheme="minorEastAsia"/>
              </w:rPr>
            </w:pPr>
          </w:p>
        </w:tc>
      </w:tr>
      <w:tr w14:paraId="7E774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0AA34D9F">
            <w:pPr>
              <w:adjustRightInd w:val="0"/>
              <w:spacing w:line="288" w:lineRule="auto"/>
              <w:jc w:val="center"/>
              <w:rPr>
                <w:rFonts w:asciiTheme="minorEastAsia" w:hAnsiTheme="minorEastAsia" w:eastAsiaTheme="minorEastAsia" w:cstheme="minorEastAsia"/>
              </w:rPr>
            </w:pPr>
          </w:p>
        </w:tc>
        <w:tc>
          <w:tcPr>
            <w:tcW w:w="952" w:type="dxa"/>
            <w:vAlign w:val="center"/>
          </w:tcPr>
          <w:p w14:paraId="2FEA4D5D">
            <w:pPr>
              <w:adjustRightInd w:val="0"/>
              <w:spacing w:line="288" w:lineRule="auto"/>
              <w:jc w:val="center"/>
              <w:rPr>
                <w:rFonts w:asciiTheme="minorEastAsia" w:hAnsiTheme="minorEastAsia" w:eastAsiaTheme="minorEastAsia" w:cstheme="minorEastAsia"/>
              </w:rPr>
            </w:pPr>
          </w:p>
        </w:tc>
        <w:tc>
          <w:tcPr>
            <w:tcW w:w="952" w:type="dxa"/>
            <w:vAlign w:val="center"/>
          </w:tcPr>
          <w:p w14:paraId="64C3FB4D">
            <w:pPr>
              <w:adjustRightInd w:val="0"/>
              <w:spacing w:line="288" w:lineRule="auto"/>
              <w:jc w:val="center"/>
              <w:rPr>
                <w:rFonts w:asciiTheme="minorEastAsia" w:hAnsiTheme="minorEastAsia" w:eastAsiaTheme="minorEastAsia" w:cstheme="minorEastAsia"/>
              </w:rPr>
            </w:pPr>
          </w:p>
        </w:tc>
        <w:tc>
          <w:tcPr>
            <w:tcW w:w="952" w:type="dxa"/>
            <w:vAlign w:val="center"/>
          </w:tcPr>
          <w:p w14:paraId="63BECB2D">
            <w:pPr>
              <w:adjustRightInd w:val="0"/>
              <w:spacing w:line="288" w:lineRule="auto"/>
              <w:jc w:val="center"/>
              <w:rPr>
                <w:rFonts w:asciiTheme="minorEastAsia" w:hAnsiTheme="minorEastAsia" w:eastAsiaTheme="minorEastAsia" w:cstheme="minorEastAsia"/>
              </w:rPr>
            </w:pPr>
          </w:p>
        </w:tc>
        <w:tc>
          <w:tcPr>
            <w:tcW w:w="951" w:type="dxa"/>
            <w:vAlign w:val="center"/>
          </w:tcPr>
          <w:p w14:paraId="3A3DC2E0">
            <w:pPr>
              <w:adjustRightInd w:val="0"/>
              <w:spacing w:line="288" w:lineRule="auto"/>
              <w:jc w:val="center"/>
              <w:rPr>
                <w:rFonts w:asciiTheme="minorEastAsia" w:hAnsiTheme="minorEastAsia" w:eastAsiaTheme="minorEastAsia" w:cstheme="minorEastAsia"/>
              </w:rPr>
            </w:pPr>
          </w:p>
        </w:tc>
        <w:tc>
          <w:tcPr>
            <w:tcW w:w="951" w:type="dxa"/>
            <w:vAlign w:val="center"/>
          </w:tcPr>
          <w:p w14:paraId="22364EDF">
            <w:pPr>
              <w:adjustRightInd w:val="0"/>
              <w:spacing w:line="288" w:lineRule="auto"/>
              <w:jc w:val="center"/>
              <w:rPr>
                <w:rFonts w:asciiTheme="minorEastAsia" w:hAnsiTheme="minorEastAsia" w:eastAsiaTheme="minorEastAsia" w:cstheme="minorEastAsia"/>
              </w:rPr>
            </w:pPr>
          </w:p>
        </w:tc>
        <w:tc>
          <w:tcPr>
            <w:tcW w:w="952" w:type="dxa"/>
            <w:vAlign w:val="center"/>
          </w:tcPr>
          <w:p w14:paraId="50F14BB2">
            <w:pPr>
              <w:adjustRightInd w:val="0"/>
              <w:spacing w:line="288" w:lineRule="auto"/>
              <w:jc w:val="center"/>
              <w:rPr>
                <w:rFonts w:asciiTheme="minorEastAsia" w:hAnsiTheme="minorEastAsia" w:eastAsiaTheme="minorEastAsia" w:cstheme="minorEastAsia"/>
              </w:rPr>
            </w:pPr>
          </w:p>
        </w:tc>
        <w:tc>
          <w:tcPr>
            <w:tcW w:w="952" w:type="dxa"/>
            <w:vAlign w:val="center"/>
          </w:tcPr>
          <w:p w14:paraId="45370903">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010C1773">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7CDDAAE0">
            <w:pPr>
              <w:adjustRightInd w:val="0"/>
              <w:spacing w:line="288" w:lineRule="auto"/>
              <w:jc w:val="center"/>
              <w:rPr>
                <w:rFonts w:asciiTheme="minorEastAsia" w:hAnsiTheme="minorEastAsia" w:eastAsiaTheme="minorEastAsia" w:cstheme="minorEastAsia"/>
              </w:rPr>
            </w:pPr>
          </w:p>
        </w:tc>
      </w:tr>
      <w:tr w14:paraId="7381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6CA1CA10">
            <w:pPr>
              <w:adjustRightInd w:val="0"/>
              <w:spacing w:line="288" w:lineRule="auto"/>
              <w:jc w:val="center"/>
              <w:rPr>
                <w:rFonts w:asciiTheme="minorEastAsia" w:hAnsiTheme="minorEastAsia" w:eastAsiaTheme="minorEastAsia" w:cstheme="minorEastAsia"/>
              </w:rPr>
            </w:pPr>
          </w:p>
        </w:tc>
        <w:tc>
          <w:tcPr>
            <w:tcW w:w="952" w:type="dxa"/>
            <w:vAlign w:val="center"/>
          </w:tcPr>
          <w:p w14:paraId="5ED06A80">
            <w:pPr>
              <w:adjustRightInd w:val="0"/>
              <w:spacing w:line="288" w:lineRule="auto"/>
              <w:jc w:val="center"/>
              <w:rPr>
                <w:rFonts w:asciiTheme="minorEastAsia" w:hAnsiTheme="minorEastAsia" w:eastAsiaTheme="minorEastAsia" w:cstheme="minorEastAsia"/>
              </w:rPr>
            </w:pPr>
          </w:p>
        </w:tc>
        <w:tc>
          <w:tcPr>
            <w:tcW w:w="952" w:type="dxa"/>
            <w:vAlign w:val="center"/>
          </w:tcPr>
          <w:p w14:paraId="4049735B">
            <w:pPr>
              <w:adjustRightInd w:val="0"/>
              <w:spacing w:line="288" w:lineRule="auto"/>
              <w:jc w:val="center"/>
              <w:rPr>
                <w:rFonts w:asciiTheme="minorEastAsia" w:hAnsiTheme="minorEastAsia" w:eastAsiaTheme="minorEastAsia" w:cstheme="minorEastAsia"/>
              </w:rPr>
            </w:pPr>
          </w:p>
        </w:tc>
        <w:tc>
          <w:tcPr>
            <w:tcW w:w="952" w:type="dxa"/>
            <w:vAlign w:val="center"/>
          </w:tcPr>
          <w:p w14:paraId="41617112">
            <w:pPr>
              <w:adjustRightInd w:val="0"/>
              <w:spacing w:line="288" w:lineRule="auto"/>
              <w:jc w:val="center"/>
              <w:rPr>
                <w:rFonts w:asciiTheme="minorEastAsia" w:hAnsiTheme="minorEastAsia" w:eastAsiaTheme="minorEastAsia" w:cstheme="minorEastAsia"/>
              </w:rPr>
            </w:pPr>
          </w:p>
        </w:tc>
        <w:tc>
          <w:tcPr>
            <w:tcW w:w="951" w:type="dxa"/>
            <w:vAlign w:val="center"/>
          </w:tcPr>
          <w:p w14:paraId="1A8A51A9">
            <w:pPr>
              <w:adjustRightInd w:val="0"/>
              <w:spacing w:line="288" w:lineRule="auto"/>
              <w:jc w:val="center"/>
              <w:rPr>
                <w:rFonts w:asciiTheme="minorEastAsia" w:hAnsiTheme="minorEastAsia" w:eastAsiaTheme="minorEastAsia" w:cstheme="minorEastAsia"/>
              </w:rPr>
            </w:pPr>
          </w:p>
        </w:tc>
        <w:tc>
          <w:tcPr>
            <w:tcW w:w="951" w:type="dxa"/>
            <w:vAlign w:val="center"/>
          </w:tcPr>
          <w:p w14:paraId="3346B7AA">
            <w:pPr>
              <w:adjustRightInd w:val="0"/>
              <w:spacing w:line="288" w:lineRule="auto"/>
              <w:jc w:val="center"/>
              <w:rPr>
                <w:rFonts w:asciiTheme="minorEastAsia" w:hAnsiTheme="minorEastAsia" w:eastAsiaTheme="minorEastAsia" w:cstheme="minorEastAsia"/>
              </w:rPr>
            </w:pPr>
          </w:p>
        </w:tc>
        <w:tc>
          <w:tcPr>
            <w:tcW w:w="952" w:type="dxa"/>
            <w:vAlign w:val="center"/>
          </w:tcPr>
          <w:p w14:paraId="75070ECC">
            <w:pPr>
              <w:adjustRightInd w:val="0"/>
              <w:spacing w:line="288" w:lineRule="auto"/>
              <w:jc w:val="center"/>
              <w:rPr>
                <w:rFonts w:asciiTheme="minorEastAsia" w:hAnsiTheme="minorEastAsia" w:eastAsiaTheme="minorEastAsia" w:cstheme="minorEastAsia"/>
              </w:rPr>
            </w:pPr>
          </w:p>
        </w:tc>
        <w:tc>
          <w:tcPr>
            <w:tcW w:w="952" w:type="dxa"/>
            <w:vAlign w:val="center"/>
          </w:tcPr>
          <w:p w14:paraId="125208AD">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E353411">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406438B">
            <w:pPr>
              <w:adjustRightInd w:val="0"/>
              <w:spacing w:line="288" w:lineRule="auto"/>
              <w:jc w:val="center"/>
              <w:rPr>
                <w:rFonts w:asciiTheme="minorEastAsia" w:hAnsiTheme="minorEastAsia" w:eastAsiaTheme="minorEastAsia" w:cstheme="minorEastAsia"/>
              </w:rPr>
            </w:pPr>
          </w:p>
        </w:tc>
      </w:tr>
      <w:tr w14:paraId="1B810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102AA7E3">
            <w:pPr>
              <w:adjustRightInd w:val="0"/>
              <w:spacing w:line="288" w:lineRule="auto"/>
              <w:jc w:val="center"/>
              <w:rPr>
                <w:rFonts w:asciiTheme="minorEastAsia" w:hAnsiTheme="minorEastAsia" w:eastAsiaTheme="minorEastAsia" w:cstheme="minorEastAsia"/>
              </w:rPr>
            </w:pPr>
          </w:p>
        </w:tc>
        <w:tc>
          <w:tcPr>
            <w:tcW w:w="952" w:type="dxa"/>
            <w:vAlign w:val="center"/>
          </w:tcPr>
          <w:p w14:paraId="63F28964">
            <w:pPr>
              <w:adjustRightInd w:val="0"/>
              <w:spacing w:line="288" w:lineRule="auto"/>
              <w:jc w:val="center"/>
              <w:rPr>
                <w:rFonts w:asciiTheme="minorEastAsia" w:hAnsiTheme="minorEastAsia" w:eastAsiaTheme="minorEastAsia" w:cstheme="minorEastAsia"/>
              </w:rPr>
            </w:pPr>
          </w:p>
        </w:tc>
        <w:tc>
          <w:tcPr>
            <w:tcW w:w="952" w:type="dxa"/>
            <w:vAlign w:val="center"/>
          </w:tcPr>
          <w:p w14:paraId="637B361F">
            <w:pPr>
              <w:adjustRightInd w:val="0"/>
              <w:spacing w:line="288" w:lineRule="auto"/>
              <w:jc w:val="center"/>
              <w:rPr>
                <w:rFonts w:asciiTheme="minorEastAsia" w:hAnsiTheme="minorEastAsia" w:eastAsiaTheme="minorEastAsia" w:cstheme="minorEastAsia"/>
              </w:rPr>
            </w:pPr>
          </w:p>
        </w:tc>
        <w:tc>
          <w:tcPr>
            <w:tcW w:w="952" w:type="dxa"/>
            <w:vAlign w:val="center"/>
          </w:tcPr>
          <w:p w14:paraId="347F20A2">
            <w:pPr>
              <w:adjustRightInd w:val="0"/>
              <w:spacing w:line="288" w:lineRule="auto"/>
              <w:jc w:val="center"/>
              <w:rPr>
                <w:rFonts w:asciiTheme="minorEastAsia" w:hAnsiTheme="minorEastAsia" w:eastAsiaTheme="minorEastAsia" w:cstheme="minorEastAsia"/>
              </w:rPr>
            </w:pPr>
          </w:p>
        </w:tc>
        <w:tc>
          <w:tcPr>
            <w:tcW w:w="951" w:type="dxa"/>
            <w:vAlign w:val="center"/>
          </w:tcPr>
          <w:p w14:paraId="2D3F2AA7">
            <w:pPr>
              <w:adjustRightInd w:val="0"/>
              <w:spacing w:line="288" w:lineRule="auto"/>
              <w:jc w:val="center"/>
              <w:rPr>
                <w:rFonts w:asciiTheme="minorEastAsia" w:hAnsiTheme="minorEastAsia" w:eastAsiaTheme="minorEastAsia" w:cstheme="minorEastAsia"/>
              </w:rPr>
            </w:pPr>
          </w:p>
        </w:tc>
        <w:tc>
          <w:tcPr>
            <w:tcW w:w="951" w:type="dxa"/>
            <w:vAlign w:val="center"/>
          </w:tcPr>
          <w:p w14:paraId="5739A644">
            <w:pPr>
              <w:adjustRightInd w:val="0"/>
              <w:spacing w:line="288" w:lineRule="auto"/>
              <w:jc w:val="center"/>
              <w:rPr>
                <w:rFonts w:asciiTheme="minorEastAsia" w:hAnsiTheme="minorEastAsia" w:eastAsiaTheme="minorEastAsia" w:cstheme="minorEastAsia"/>
              </w:rPr>
            </w:pPr>
          </w:p>
        </w:tc>
        <w:tc>
          <w:tcPr>
            <w:tcW w:w="952" w:type="dxa"/>
            <w:vAlign w:val="center"/>
          </w:tcPr>
          <w:p w14:paraId="09DA4D98">
            <w:pPr>
              <w:adjustRightInd w:val="0"/>
              <w:spacing w:line="288" w:lineRule="auto"/>
              <w:jc w:val="center"/>
              <w:rPr>
                <w:rFonts w:asciiTheme="minorEastAsia" w:hAnsiTheme="minorEastAsia" w:eastAsiaTheme="minorEastAsia" w:cstheme="minorEastAsia"/>
              </w:rPr>
            </w:pPr>
          </w:p>
        </w:tc>
        <w:tc>
          <w:tcPr>
            <w:tcW w:w="952" w:type="dxa"/>
            <w:vAlign w:val="center"/>
          </w:tcPr>
          <w:p w14:paraId="611B130E">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D4607DB">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07C9B86F">
            <w:pPr>
              <w:adjustRightInd w:val="0"/>
              <w:spacing w:line="288" w:lineRule="auto"/>
              <w:jc w:val="center"/>
              <w:rPr>
                <w:rFonts w:asciiTheme="minorEastAsia" w:hAnsiTheme="minorEastAsia" w:eastAsiaTheme="minorEastAsia" w:cstheme="minorEastAsia"/>
              </w:rPr>
            </w:pPr>
          </w:p>
        </w:tc>
      </w:tr>
      <w:tr w14:paraId="4B4C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35B465B3">
            <w:pPr>
              <w:adjustRightInd w:val="0"/>
              <w:spacing w:line="288" w:lineRule="auto"/>
              <w:jc w:val="center"/>
              <w:rPr>
                <w:rFonts w:asciiTheme="minorEastAsia" w:hAnsiTheme="minorEastAsia" w:eastAsiaTheme="minorEastAsia" w:cstheme="minorEastAsia"/>
              </w:rPr>
            </w:pPr>
          </w:p>
        </w:tc>
        <w:tc>
          <w:tcPr>
            <w:tcW w:w="952" w:type="dxa"/>
            <w:vAlign w:val="center"/>
          </w:tcPr>
          <w:p w14:paraId="67AC46FD">
            <w:pPr>
              <w:adjustRightInd w:val="0"/>
              <w:spacing w:line="288" w:lineRule="auto"/>
              <w:jc w:val="center"/>
              <w:rPr>
                <w:rFonts w:asciiTheme="minorEastAsia" w:hAnsiTheme="minorEastAsia" w:eastAsiaTheme="minorEastAsia" w:cstheme="minorEastAsia"/>
              </w:rPr>
            </w:pPr>
          </w:p>
        </w:tc>
        <w:tc>
          <w:tcPr>
            <w:tcW w:w="952" w:type="dxa"/>
            <w:vAlign w:val="center"/>
          </w:tcPr>
          <w:p w14:paraId="7DC3FC52">
            <w:pPr>
              <w:adjustRightInd w:val="0"/>
              <w:spacing w:line="288" w:lineRule="auto"/>
              <w:jc w:val="center"/>
              <w:rPr>
                <w:rFonts w:asciiTheme="minorEastAsia" w:hAnsiTheme="minorEastAsia" w:eastAsiaTheme="minorEastAsia" w:cstheme="minorEastAsia"/>
              </w:rPr>
            </w:pPr>
          </w:p>
        </w:tc>
        <w:tc>
          <w:tcPr>
            <w:tcW w:w="952" w:type="dxa"/>
            <w:vAlign w:val="center"/>
          </w:tcPr>
          <w:p w14:paraId="3E0416CA">
            <w:pPr>
              <w:adjustRightInd w:val="0"/>
              <w:spacing w:line="288" w:lineRule="auto"/>
              <w:jc w:val="center"/>
              <w:rPr>
                <w:rFonts w:asciiTheme="minorEastAsia" w:hAnsiTheme="minorEastAsia" w:eastAsiaTheme="minorEastAsia" w:cstheme="minorEastAsia"/>
              </w:rPr>
            </w:pPr>
          </w:p>
        </w:tc>
        <w:tc>
          <w:tcPr>
            <w:tcW w:w="951" w:type="dxa"/>
            <w:vAlign w:val="center"/>
          </w:tcPr>
          <w:p w14:paraId="17C05770">
            <w:pPr>
              <w:adjustRightInd w:val="0"/>
              <w:spacing w:line="288" w:lineRule="auto"/>
              <w:jc w:val="center"/>
              <w:rPr>
                <w:rFonts w:asciiTheme="minorEastAsia" w:hAnsiTheme="minorEastAsia" w:eastAsiaTheme="minorEastAsia" w:cstheme="minorEastAsia"/>
              </w:rPr>
            </w:pPr>
          </w:p>
        </w:tc>
        <w:tc>
          <w:tcPr>
            <w:tcW w:w="951" w:type="dxa"/>
            <w:vAlign w:val="center"/>
          </w:tcPr>
          <w:p w14:paraId="34273AD7">
            <w:pPr>
              <w:adjustRightInd w:val="0"/>
              <w:spacing w:line="288" w:lineRule="auto"/>
              <w:jc w:val="center"/>
              <w:rPr>
                <w:rFonts w:asciiTheme="minorEastAsia" w:hAnsiTheme="minorEastAsia" w:eastAsiaTheme="minorEastAsia" w:cstheme="minorEastAsia"/>
              </w:rPr>
            </w:pPr>
          </w:p>
        </w:tc>
        <w:tc>
          <w:tcPr>
            <w:tcW w:w="952" w:type="dxa"/>
            <w:vAlign w:val="center"/>
          </w:tcPr>
          <w:p w14:paraId="3BBD128F">
            <w:pPr>
              <w:adjustRightInd w:val="0"/>
              <w:spacing w:line="288" w:lineRule="auto"/>
              <w:jc w:val="center"/>
              <w:rPr>
                <w:rFonts w:asciiTheme="minorEastAsia" w:hAnsiTheme="minorEastAsia" w:eastAsiaTheme="minorEastAsia" w:cstheme="minorEastAsia"/>
              </w:rPr>
            </w:pPr>
          </w:p>
        </w:tc>
        <w:tc>
          <w:tcPr>
            <w:tcW w:w="952" w:type="dxa"/>
            <w:vAlign w:val="center"/>
          </w:tcPr>
          <w:p w14:paraId="44874920">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9427BE9">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6051504">
            <w:pPr>
              <w:adjustRightInd w:val="0"/>
              <w:spacing w:line="288" w:lineRule="auto"/>
              <w:jc w:val="center"/>
              <w:rPr>
                <w:rFonts w:asciiTheme="minorEastAsia" w:hAnsiTheme="minorEastAsia" w:eastAsiaTheme="minorEastAsia" w:cstheme="minorEastAsia"/>
              </w:rPr>
            </w:pPr>
          </w:p>
        </w:tc>
      </w:tr>
      <w:tr w14:paraId="68EF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5DEAF97E">
            <w:pPr>
              <w:adjustRightInd w:val="0"/>
              <w:spacing w:line="288" w:lineRule="auto"/>
              <w:jc w:val="center"/>
              <w:rPr>
                <w:rFonts w:asciiTheme="minorEastAsia" w:hAnsiTheme="minorEastAsia" w:eastAsiaTheme="minorEastAsia" w:cstheme="minorEastAsia"/>
              </w:rPr>
            </w:pPr>
          </w:p>
        </w:tc>
        <w:tc>
          <w:tcPr>
            <w:tcW w:w="952" w:type="dxa"/>
            <w:vAlign w:val="center"/>
          </w:tcPr>
          <w:p w14:paraId="052B4282">
            <w:pPr>
              <w:adjustRightInd w:val="0"/>
              <w:spacing w:line="288" w:lineRule="auto"/>
              <w:jc w:val="center"/>
              <w:rPr>
                <w:rFonts w:asciiTheme="minorEastAsia" w:hAnsiTheme="minorEastAsia" w:eastAsiaTheme="minorEastAsia" w:cstheme="minorEastAsia"/>
              </w:rPr>
            </w:pPr>
          </w:p>
        </w:tc>
        <w:tc>
          <w:tcPr>
            <w:tcW w:w="952" w:type="dxa"/>
            <w:vAlign w:val="center"/>
          </w:tcPr>
          <w:p w14:paraId="1E953732">
            <w:pPr>
              <w:adjustRightInd w:val="0"/>
              <w:spacing w:line="288" w:lineRule="auto"/>
              <w:jc w:val="center"/>
              <w:rPr>
                <w:rFonts w:asciiTheme="minorEastAsia" w:hAnsiTheme="minorEastAsia" w:eastAsiaTheme="minorEastAsia" w:cstheme="minorEastAsia"/>
              </w:rPr>
            </w:pPr>
          </w:p>
        </w:tc>
        <w:tc>
          <w:tcPr>
            <w:tcW w:w="952" w:type="dxa"/>
            <w:vAlign w:val="center"/>
          </w:tcPr>
          <w:p w14:paraId="29C9AC91">
            <w:pPr>
              <w:adjustRightInd w:val="0"/>
              <w:spacing w:line="288" w:lineRule="auto"/>
              <w:jc w:val="center"/>
              <w:rPr>
                <w:rFonts w:asciiTheme="minorEastAsia" w:hAnsiTheme="minorEastAsia" w:eastAsiaTheme="minorEastAsia" w:cstheme="minorEastAsia"/>
              </w:rPr>
            </w:pPr>
          </w:p>
        </w:tc>
        <w:tc>
          <w:tcPr>
            <w:tcW w:w="951" w:type="dxa"/>
            <w:vAlign w:val="center"/>
          </w:tcPr>
          <w:p w14:paraId="26ED8087">
            <w:pPr>
              <w:adjustRightInd w:val="0"/>
              <w:spacing w:line="288" w:lineRule="auto"/>
              <w:jc w:val="center"/>
              <w:rPr>
                <w:rFonts w:asciiTheme="minorEastAsia" w:hAnsiTheme="minorEastAsia" w:eastAsiaTheme="minorEastAsia" w:cstheme="minorEastAsia"/>
              </w:rPr>
            </w:pPr>
          </w:p>
        </w:tc>
        <w:tc>
          <w:tcPr>
            <w:tcW w:w="951" w:type="dxa"/>
            <w:vAlign w:val="center"/>
          </w:tcPr>
          <w:p w14:paraId="7531B408">
            <w:pPr>
              <w:adjustRightInd w:val="0"/>
              <w:spacing w:line="288" w:lineRule="auto"/>
              <w:jc w:val="center"/>
              <w:rPr>
                <w:rFonts w:asciiTheme="minorEastAsia" w:hAnsiTheme="minorEastAsia" w:eastAsiaTheme="minorEastAsia" w:cstheme="minorEastAsia"/>
              </w:rPr>
            </w:pPr>
          </w:p>
        </w:tc>
        <w:tc>
          <w:tcPr>
            <w:tcW w:w="952" w:type="dxa"/>
            <w:vAlign w:val="center"/>
          </w:tcPr>
          <w:p w14:paraId="643C9040">
            <w:pPr>
              <w:adjustRightInd w:val="0"/>
              <w:spacing w:line="288" w:lineRule="auto"/>
              <w:jc w:val="center"/>
              <w:rPr>
                <w:rFonts w:asciiTheme="minorEastAsia" w:hAnsiTheme="minorEastAsia" w:eastAsiaTheme="minorEastAsia" w:cstheme="minorEastAsia"/>
              </w:rPr>
            </w:pPr>
          </w:p>
        </w:tc>
        <w:tc>
          <w:tcPr>
            <w:tcW w:w="952" w:type="dxa"/>
            <w:vAlign w:val="center"/>
          </w:tcPr>
          <w:p w14:paraId="0D5FE2EF">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0044367F">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19DF5C7B">
            <w:pPr>
              <w:adjustRightInd w:val="0"/>
              <w:spacing w:line="288" w:lineRule="auto"/>
              <w:jc w:val="center"/>
              <w:rPr>
                <w:rFonts w:asciiTheme="minorEastAsia" w:hAnsiTheme="minorEastAsia" w:eastAsiaTheme="minorEastAsia" w:cstheme="minorEastAsia"/>
              </w:rPr>
            </w:pPr>
          </w:p>
        </w:tc>
      </w:tr>
      <w:tr w14:paraId="7D9C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645DBF45">
            <w:pPr>
              <w:adjustRightInd w:val="0"/>
              <w:spacing w:line="288" w:lineRule="auto"/>
              <w:jc w:val="center"/>
              <w:rPr>
                <w:rFonts w:asciiTheme="minorEastAsia" w:hAnsiTheme="minorEastAsia" w:eastAsiaTheme="minorEastAsia" w:cstheme="minorEastAsia"/>
              </w:rPr>
            </w:pPr>
          </w:p>
        </w:tc>
        <w:tc>
          <w:tcPr>
            <w:tcW w:w="952" w:type="dxa"/>
            <w:vAlign w:val="center"/>
          </w:tcPr>
          <w:p w14:paraId="18C56109">
            <w:pPr>
              <w:adjustRightInd w:val="0"/>
              <w:spacing w:line="288" w:lineRule="auto"/>
              <w:jc w:val="center"/>
              <w:rPr>
                <w:rFonts w:asciiTheme="minorEastAsia" w:hAnsiTheme="minorEastAsia" w:eastAsiaTheme="minorEastAsia" w:cstheme="minorEastAsia"/>
              </w:rPr>
            </w:pPr>
          </w:p>
        </w:tc>
        <w:tc>
          <w:tcPr>
            <w:tcW w:w="952" w:type="dxa"/>
            <w:vAlign w:val="center"/>
          </w:tcPr>
          <w:p w14:paraId="0054931D">
            <w:pPr>
              <w:adjustRightInd w:val="0"/>
              <w:spacing w:line="288" w:lineRule="auto"/>
              <w:jc w:val="center"/>
              <w:rPr>
                <w:rFonts w:asciiTheme="minorEastAsia" w:hAnsiTheme="minorEastAsia" w:eastAsiaTheme="minorEastAsia" w:cstheme="minorEastAsia"/>
              </w:rPr>
            </w:pPr>
          </w:p>
        </w:tc>
        <w:tc>
          <w:tcPr>
            <w:tcW w:w="952" w:type="dxa"/>
            <w:vAlign w:val="center"/>
          </w:tcPr>
          <w:p w14:paraId="0FC0FE68">
            <w:pPr>
              <w:adjustRightInd w:val="0"/>
              <w:spacing w:line="288" w:lineRule="auto"/>
              <w:jc w:val="center"/>
              <w:rPr>
                <w:rFonts w:asciiTheme="minorEastAsia" w:hAnsiTheme="minorEastAsia" w:eastAsiaTheme="minorEastAsia" w:cstheme="minorEastAsia"/>
              </w:rPr>
            </w:pPr>
          </w:p>
        </w:tc>
        <w:tc>
          <w:tcPr>
            <w:tcW w:w="951" w:type="dxa"/>
            <w:vAlign w:val="center"/>
          </w:tcPr>
          <w:p w14:paraId="7014F3D8">
            <w:pPr>
              <w:adjustRightInd w:val="0"/>
              <w:spacing w:line="288" w:lineRule="auto"/>
              <w:jc w:val="center"/>
              <w:rPr>
                <w:rFonts w:asciiTheme="minorEastAsia" w:hAnsiTheme="minorEastAsia" w:eastAsiaTheme="minorEastAsia" w:cstheme="minorEastAsia"/>
              </w:rPr>
            </w:pPr>
          </w:p>
        </w:tc>
        <w:tc>
          <w:tcPr>
            <w:tcW w:w="951" w:type="dxa"/>
            <w:vAlign w:val="center"/>
          </w:tcPr>
          <w:p w14:paraId="2D5E5714">
            <w:pPr>
              <w:adjustRightInd w:val="0"/>
              <w:spacing w:line="288" w:lineRule="auto"/>
              <w:jc w:val="center"/>
              <w:rPr>
                <w:rFonts w:asciiTheme="minorEastAsia" w:hAnsiTheme="minorEastAsia" w:eastAsiaTheme="minorEastAsia" w:cstheme="minorEastAsia"/>
              </w:rPr>
            </w:pPr>
          </w:p>
        </w:tc>
        <w:tc>
          <w:tcPr>
            <w:tcW w:w="952" w:type="dxa"/>
            <w:vAlign w:val="center"/>
          </w:tcPr>
          <w:p w14:paraId="2B51A0C8">
            <w:pPr>
              <w:adjustRightInd w:val="0"/>
              <w:spacing w:line="288" w:lineRule="auto"/>
              <w:jc w:val="center"/>
              <w:rPr>
                <w:rFonts w:asciiTheme="minorEastAsia" w:hAnsiTheme="minorEastAsia" w:eastAsiaTheme="minorEastAsia" w:cstheme="minorEastAsia"/>
              </w:rPr>
            </w:pPr>
          </w:p>
        </w:tc>
        <w:tc>
          <w:tcPr>
            <w:tcW w:w="952" w:type="dxa"/>
            <w:vAlign w:val="center"/>
          </w:tcPr>
          <w:p w14:paraId="13A2295F">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7D26EF2F">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4169128F">
            <w:pPr>
              <w:adjustRightInd w:val="0"/>
              <w:spacing w:line="288" w:lineRule="auto"/>
              <w:jc w:val="center"/>
              <w:rPr>
                <w:rFonts w:asciiTheme="minorEastAsia" w:hAnsiTheme="minorEastAsia" w:eastAsiaTheme="minorEastAsia" w:cstheme="minorEastAsia"/>
              </w:rPr>
            </w:pPr>
          </w:p>
        </w:tc>
      </w:tr>
      <w:tr w14:paraId="4CDC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622508FE">
            <w:pPr>
              <w:adjustRightInd w:val="0"/>
              <w:spacing w:line="288" w:lineRule="auto"/>
              <w:jc w:val="center"/>
              <w:rPr>
                <w:rFonts w:asciiTheme="minorEastAsia" w:hAnsiTheme="minorEastAsia" w:eastAsiaTheme="minorEastAsia" w:cstheme="minorEastAsia"/>
              </w:rPr>
            </w:pPr>
          </w:p>
        </w:tc>
        <w:tc>
          <w:tcPr>
            <w:tcW w:w="952" w:type="dxa"/>
            <w:vAlign w:val="center"/>
          </w:tcPr>
          <w:p w14:paraId="05115150">
            <w:pPr>
              <w:adjustRightInd w:val="0"/>
              <w:spacing w:line="288" w:lineRule="auto"/>
              <w:jc w:val="center"/>
              <w:rPr>
                <w:rFonts w:asciiTheme="minorEastAsia" w:hAnsiTheme="minorEastAsia" w:eastAsiaTheme="minorEastAsia" w:cstheme="minorEastAsia"/>
              </w:rPr>
            </w:pPr>
          </w:p>
        </w:tc>
        <w:tc>
          <w:tcPr>
            <w:tcW w:w="952" w:type="dxa"/>
            <w:vAlign w:val="center"/>
          </w:tcPr>
          <w:p w14:paraId="59168293">
            <w:pPr>
              <w:adjustRightInd w:val="0"/>
              <w:spacing w:line="288" w:lineRule="auto"/>
              <w:jc w:val="center"/>
              <w:rPr>
                <w:rFonts w:asciiTheme="minorEastAsia" w:hAnsiTheme="minorEastAsia" w:eastAsiaTheme="minorEastAsia" w:cstheme="minorEastAsia"/>
              </w:rPr>
            </w:pPr>
          </w:p>
        </w:tc>
        <w:tc>
          <w:tcPr>
            <w:tcW w:w="952" w:type="dxa"/>
            <w:vAlign w:val="center"/>
          </w:tcPr>
          <w:p w14:paraId="27653273">
            <w:pPr>
              <w:adjustRightInd w:val="0"/>
              <w:spacing w:line="288" w:lineRule="auto"/>
              <w:jc w:val="center"/>
              <w:rPr>
                <w:rFonts w:asciiTheme="minorEastAsia" w:hAnsiTheme="minorEastAsia" w:eastAsiaTheme="minorEastAsia" w:cstheme="minorEastAsia"/>
              </w:rPr>
            </w:pPr>
          </w:p>
        </w:tc>
        <w:tc>
          <w:tcPr>
            <w:tcW w:w="951" w:type="dxa"/>
            <w:vAlign w:val="center"/>
          </w:tcPr>
          <w:p w14:paraId="75B31D44">
            <w:pPr>
              <w:adjustRightInd w:val="0"/>
              <w:spacing w:line="288" w:lineRule="auto"/>
              <w:jc w:val="center"/>
              <w:rPr>
                <w:rFonts w:asciiTheme="minorEastAsia" w:hAnsiTheme="minorEastAsia" w:eastAsiaTheme="minorEastAsia" w:cstheme="minorEastAsia"/>
              </w:rPr>
            </w:pPr>
          </w:p>
        </w:tc>
        <w:tc>
          <w:tcPr>
            <w:tcW w:w="951" w:type="dxa"/>
            <w:vAlign w:val="center"/>
          </w:tcPr>
          <w:p w14:paraId="5FC70607">
            <w:pPr>
              <w:adjustRightInd w:val="0"/>
              <w:spacing w:line="288" w:lineRule="auto"/>
              <w:jc w:val="center"/>
              <w:rPr>
                <w:rFonts w:asciiTheme="minorEastAsia" w:hAnsiTheme="minorEastAsia" w:eastAsiaTheme="minorEastAsia" w:cstheme="minorEastAsia"/>
              </w:rPr>
            </w:pPr>
          </w:p>
        </w:tc>
        <w:tc>
          <w:tcPr>
            <w:tcW w:w="952" w:type="dxa"/>
            <w:vAlign w:val="center"/>
          </w:tcPr>
          <w:p w14:paraId="65717A4B">
            <w:pPr>
              <w:adjustRightInd w:val="0"/>
              <w:spacing w:line="288" w:lineRule="auto"/>
              <w:jc w:val="center"/>
              <w:rPr>
                <w:rFonts w:asciiTheme="minorEastAsia" w:hAnsiTheme="minorEastAsia" w:eastAsiaTheme="minorEastAsia" w:cstheme="minorEastAsia"/>
              </w:rPr>
            </w:pPr>
          </w:p>
        </w:tc>
        <w:tc>
          <w:tcPr>
            <w:tcW w:w="952" w:type="dxa"/>
            <w:vAlign w:val="center"/>
          </w:tcPr>
          <w:p w14:paraId="729879CA">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0701233C">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51A7F901">
            <w:pPr>
              <w:adjustRightInd w:val="0"/>
              <w:spacing w:line="288" w:lineRule="auto"/>
              <w:jc w:val="center"/>
              <w:rPr>
                <w:rFonts w:asciiTheme="minorEastAsia" w:hAnsiTheme="minorEastAsia" w:eastAsiaTheme="minorEastAsia" w:cstheme="minorEastAsia"/>
              </w:rPr>
            </w:pPr>
          </w:p>
        </w:tc>
      </w:tr>
      <w:tr w14:paraId="5BB57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63" w:type="dxa"/>
            <w:tcBorders>
              <w:left w:val="single" w:color="000000" w:sz="10" w:space="0"/>
            </w:tcBorders>
            <w:vAlign w:val="center"/>
          </w:tcPr>
          <w:p w14:paraId="27FAFC8D">
            <w:pPr>
              <w:adjustRightInd w:val="0"/>
              <w:spacing w:line="288" w:lineRule="auto"/>
              <w:jc w:val="center"/>
              <w:rPr>
                <w:rFonts w:asciiTheme="minorEastAsia" w:hAnsiTheme="minorEastAsia" w:eastAsiaTheme="minorEastAsia" w:cstheme="minorEastAsia"/>
              </w:rPr>
            </w:pPr>
          </w:p>
        </w:tc>
        <w:tc>
          <w:tcPr>
            <w:tcW w:w="952" w:type="dxa"/>
            <w:vAlign w:val="center"/>
          </w:tcPr>
          <w:p w14:paraId="1BDE6345">
            <w:pPr>
              <w:adjustRightInd w:val="0"/>
              <w:spacing w:line="288" w:lineRule="auto"/>
              <w:jc w:val="center"/>
              <w:rPr>
                <w:rFonts w:asciiTheme="minorEastAsia" w:hAnsiTheme="minorEastAsia" w:eastAsiaTheme="minorEastAsia" w:cstheme="minorEastAsia"/>
              </w:rPr>
            </w:pPr>
          </w:p>
        </w:tc>
        <w:tc>
          <w:tcPr>
            <w:tcW w:w="952" w:type="dxa"/>
            <w:vAlign w:val="center"/>
          </w:tcPr>
          <w:p w14:paraId="7DA2CCE9">
            <w:pPr>
              <w:adjustRightInd w:val="0"/>
              <w:spacing w:line="288" w:lineRule="auto"/>
              <w:jc w:val="center"/>
              <w:rPr>
                <w:rFonts w:asciiTheme="minorEastAsia" w:hAnsiTheme="minorEastAsia" w:eastAsiaTheme="minorEastAsia" w:cstheme="minorEastAsia"/>
              </w:rPr>
            </w:pPr>
          </w:p>
        </w:tc>
        <w:tc>
          <w:tcPr>
            <w:tcW w:w="952" w:type="dxa"/>
            <w:vAlign w:val="center"/>
          </w:tcPr>
          <w:p w14:paraId="0F94C54F">
            <w:pPr>
              <w:adjustRightInd w:val="0"/>
              <w:spacing w:line="288" w:lineRule="auto"/>
              <w:jc w:val="center"/>
              <w:rPr>
                <w:rFonts w:asciiTheme="minorEastAsia" w:hAnsiTheme="minorEastAsia" w:eastAsiaTheme="minorEastAsia" w:cstheme="minorEastAsia"/>
              </w:rPr>
            </w:pPr>
          </w:p>
        </w:tc>
        <w:tc>
          <w:tcPr>
            <w:tcW w:w="951" w:type="dxa"/>
            <w:vAlign w:val="center"/>
          </w:tcPr>
          <w:p w14:paraId="73CDA68D">
            <w:pPr>
              <w:adjustRightInd w:val="0"/>
              <w:spacing w:line="288" w:lineRule="auto"/>
              <w:jc w:val="center"/>
              <w:rPr>
                <w:rFonts w:asciiTheme="minorEastAsia" w:hAnsiTheme="minorEastAsia" w:eastAsiaTheme="minorEastAsia" w:cstheme="minorEastAsia"/>
              </w:rPr>
            </w:pPr>
          </w:p>
        </w:tc>
        <w:tc>
          <w:tcPr>
            <w:tcW w:w="951" w:type="dxa"/>
            <w:vAlign w:val="center"/>
          </w:tcPr>
          <w:p w14:paraId="129CABBF">
            <w:pPr>
              <w:adjustRightInd w:val="0"/>
              <w:spacing w:line="288" w:lineRule="auto"/>
              <w:jc w:val="center"/>
              <w:rPr>
                <w:rFonts w:asciiTheme="minorEastAsia" w:hAnsiTheme="minorEastAsia" w:eastAsiaTheme="minorEastAsia" w:cstheme="minorEastAsia"/>
              </w:rPr>
            </w:pPr>
          </w:p>
        </w:tc>
        <w:tc>
          <w:tcPr>
            <w:tcW w:w="952" w:type="dxa"/>
            <w:vAlign w:val="center"/>
          </w:tcPr>
          <w:p w14:paraId="6AC03612">
            <w:pPr>
              <w:adjustRightInd w:val="0"/>
              <w:spacing w:line="288" w:lineRule="auto"/>
              <w:jc w:val="center"/>
              <w:rPr>
                <w:rFonts w:asciiTheme="minorEastAsia" w:hAnsiTheme="minorEastAsia" w:eastAsiaTheme="minorEastAsia" w:cstheme="minorEastAsia"/>
              </w:rPr>
            </w:pPr>
          </w:p>
        </w:tc>
        <w:tc>
          <w:tcPr>
            <w:tcW w:w="952" w:type="dxa"/>
            <w:vAlign w:val="center"/>
          </w:tcPr>
          <w:p w14:paraId="5D541437">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6E8D6F33">
            <w:pPr>
              <w:adjustRightInd w:val="0"/>
              <w:spacing w:line="288" w:lineRule="auto"/>
              <w:jc w:val="center"/>
              <w:rPr>
                <w:rFonts w:asciiTheme="minorEastAsia" w:hAnsiTheme="minorEastAsia" w:eastAsiaTheme="minorEastAsia" w:cstheme="minorEastAsia"/>
              </w:rPr>
            </w:pPr>
          </w:p>
        </w:tc>
        <w:tc>
          <w:tcPr>
            <w:tcW w:w="965" w:type="dxa"/>
            <w:tcBorders>
              <w:right w:val="single" w:color="000000" w:sz="10" w:space="0"/>
            </w:tcBorders>
            <w:vAlign w:val="center"/>
          </w:tcPr>
          <w:p w14:paraId="0AA33A74">
            <w:pPr>
              <w:adjustRightInd w:val="0"/>
              <w:spacing w:line="288" w:lineRule="auto"/>
              <w:jc w:val="center"/>
              <w:rPr>
                <w:rFonts w:asciiTheme="minorEastAsia" w:hAnsiTheme="minorEastAsia" w:eastAsiaTheme="minorEastAsia" w:cstheme="minorEastAsia"/>
              </w:rPr>
            </w:pPr>
          </w:p>
        </w:tc>
      </w:tr>
      <w:tr w14:paraId="39ABE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63" w:type="dxa"/>
            <w:tcBorders>
              <w:left w:val="single" w:color="000000" w:sz="10" w:space="0"/>
              <w:bottom w:val="single" w:color="000000" w:sz="10" w:space="0"/>
            </w:tcBorders>
            <w:vAlign w:val="center"/>
          </w:tcPr>
          <w:p w14:paraId="76A49DFF">
            <w:pPr>
              <w:adjustRightInd w:val="0"/>
              <w:spacing w:line="288" w:lineRule="auto"/>
              <w:jc w:val="center"/>
              <w:rPr>
                <w:rFonts w:asciiTheme="minorEastAsia" w:hAnsiTheme="minorEastAsia" w:eastAsiaTheme="minorEastAsia" w:cstheme="minorEastAsia"/>
              </w:rPr>
            </w:pPr>
          </w:p>
        </w:tc>
        <w:tc>
          <w:tcPr>
            <w:tcW w:w="952" w:type="dxa"/>
            <w:tcBorders>
              <w:bottom w:val="single" w:color="000000" w:sz="10" w:space="0"/>
            </w:tcBorders>
            <w:vAlign w:val="center"/>
          </w:tcPr>
          <w:p w14:paraId="188BAD89">
            <w:pPr>
              <w:adjustRightInd w:val="0"/>
              <w:spacing w:line="288" w:lineRule="auto"/>
              <w:jc w:val="center"/>
              <w:rPr>
                <w:rFonts w:asciiTheme="minorEastAsia" w:hAnsiTheme="minorEastAsia" w:eastAsiaTheme="minorEastAsia" w:cstheme="minorEastAsia"/>
              </w:rPr>
            </w:pPr>
          </w:p>
        </w:tc>
        <w:tc>
          <w:tcPr>
            <w:tcW w:w="952" w:type="dxa"/>
            <w:tcBorders>
              <w:bottom w:val="single" w:color="000000" w:sz="10" w:space="0"/>
            </w:tcBorders>
            <w:vAlign w:val="center"/>
          </w:tcPr>
          <w:p w14:paraId="4E4C34A5">
            <w:pPr>
              <w:adjustRightInd w:val="0"/>
              <w:spacing w:line="288" w:lineRule="auto"/>
              <w:jc w:val="center"/>
              <w:rPr>
                <w:rFonts w:asciiTheme="minorEastAsia" w:hAnsiTheme="minorEastAsia" w:eastAsiaTheme="minorEastAsia" w:cstheme="minorEastAsia"/>
              </w:rPr>
            </w:pPr>
          </w:p>
        </w:tc>
        <w:tc>
          <w:tcPr>
            <w:tcW w:w="952" w:type="dxa"/>
            <w:tcBorders>
              <w:bottom w:val="single" w:color="000000" w:sz="10" w:space="0"/>
            </w:tcBorders>
            <w:vAlign w:val="center"/>
          </w:tcPr>
          <w:p w14:paraId="3C9696F3">
            <w:pPr>
              <w:adjustRightInd w:val="0"/>
              <w:spacing w:line="288" w:lineRule="auto"/>
              <w:jc w:val="center"/>
              <w:rPr>
                <w:rFonts w:asciiTheme="minorEastAsia" w:hAnsiTheme="minorEastAsia" w:eastAsiaTheme="minorEastAsia" w:cstheme="minorEastAsia"/>
              </w:rPr>
            </w:pPr>
          </w:p>
        </w:tc>
        <w:tc>
          <w:tcPr>
            <w:tcW w:w="951" w:type="dxa"/>
            <w:tcBorders>
              <w:bottom w:val="single" w:color="000000" w:sz="10" w:space="0"/>
            </w:tcBorders>
            <w:vAlign w:val="center"/>
          </w:tcPr>
          <w:p w14:paraId="1E6CAA88">
            <w:pPr>
              <w:adjustRightInd w:val="0"/>
              <w:spacing w:line="288" w:lineRule="auto"/>
              <w:jc w:val="center"/>
              <w:rPr>
                <w:rFonts w:asciiTheme="minorEastAsia" w:hAnsiTheme="minorEastAsia" w:eastAsiaTheme="minorEastAsia" w:cstheme="minorEastAsia"/>
              </w:rPr>
            </w:pPr>
          </w:p>
        </w:tc>
        <w:tc>
          <w:tcPr>
            <w:tcW w:w="951" w:type="dxa"/>
            <w:tcBorders>
              <w:bottom w:val="single" w:color="000000" w:sz="10" w:space="0"/>
            </w:tcBorders>
            <w:vAlign w:val="center"/>
          </w:tcPr>
          <w:p w14:paraId="4C43BE93">
            <w:pPr>
              <w:adjustRightInd w:val="0"/>
              <w:spacing w:line="288" w:lineRule="auto"/>
              <w:jc w:val="center"/>
              <w:rPr>
                <w:rFonts w:asciiTheme="minorEastAsia" w:hAnsiTheme="minorEastAsia" w:eastAsiaTheme="minorEastAsia" w:cstheme="minorEastAsia"/>
              </w:rPr>
            </w:pPr>
          </w:p>
        </w:tc>
        <w:tc>
          <w:tcPr>
            <w:tcW w:w="952" w:type="dxa"/>
            <w:tcBorders>
              <w:bottom w:val="single" w:color="000000" w:sz="10" w:space="0"/>
            </w:tcBorders>
            <w:vAlign w:val="center"/>
          </w:tcPr>
          <w:p w14:paraId="6BFA202F">
            <w:pPr>
              <w:adjustRightInd w:val="0"/>
              <w:spacing w:line="288" w:lineRule="auto"/>
              <w:jc w:val="center"/>
              <w:rPr>
                <w:rFonts w:asciiTheme="minorEastAsia" w:hAnsiTheme="minorEastAsia" w:eastAsiaTheme="minorEastAsia" w:cstheme="minorEastAsia"/>
              </w:rPr>
            </w:pPr>
          </w:p>
        </w:tc>
        <w:tc>
          <w:tcPr>
            <w:tcW w:w="952" w:type="dxa"/>
            <w:tcBorders>
              <w:bottom w:val="single" w:color="000000" w:sz="10" w:space="0"/>
            </w:tcBorders>
            <w:vAlign w:val="center"/>
          </w:tcPr>
          <w:p w14:paraId="52046025">
            <w:pPr>
              <w:adjustRightInd w:val="0"/>
              <w:spacing w:line="288" w:lineRule="auto"/>
              <w:jc w:val="center"/>
              <w:rPr>
                <w:rFonts w:asciiTheme="minorEastAsia" w:hAnsiTheme="minorEastAsia" w:eastAsiaTheme="minorEastAsia" w:cstheme="minorEastAsia"/>
              </w:rPr>
            </w:pPr>
          </w:p>
        </w:tc>
        <w:tc>
          <w:tcPr>
            <w:tcW w:w="965" w:type="dxa"/>
            <w:tcBorders>
              <w:bottom w:val="single" w:color="000000" w:sz="10" w:space="0"/>
              <w:right w:val="single" w:color="000000" w:sz="10" w:space="0"/>
            </w:tcBorders>
            <w:vAlign w:val="center"/>
          </w:tcPr>
          <w:p w14:paraId="308A7AA5">
            <w:pPr>
              <w:adjustRightInd w:val="0"/>
              <w:spacing w:line="288" w:lineRule="auto"/>
              <w:jc w:val="center"/>
              <w:rPr>
                <w:rFonts w:asciiTheme="minorEastAsia" w:hAnsiTheme="minorEastAsia" w:eastAsiaTheme="minorEastAsia" w:cstheme="minorEastAsia"/>
              </w:rPr>
            </w:pPr>
          </w:p>
        </w:tc>
        <w:tc>
          <w:tcPr>
            <w:tcW w:w="965" w:type="dxa"/>
            <w:tcBorders>
              <w:bottom w:val="single" w:color="000000" w:sz="10" w:space="0"/>
              <w:right w:val="single" w:color="000000" w:sz="10" w:space="0"/>
            </w:tcBorders>
            <w:vAlign w:val="center"/>
          </w:tcPr>
          <w:p w14:paraId="51BE064E">
            <w:pPr>
              <w:adjustRightInd w:val="0"/>
              <w:spacing w:line="288" w:lineRule="auto"/>
              <w:jc w:val="center"/>
              <w:rPr>
                <w:rFonts w:asciiTheme="minorEastAsia" w:hAnsiTheme="minorEastAsia" w:eastAsiaTheme="minorEastAsia" w:cstheme="minorEastAsia"/>
              </w:rPr>
            </w:pPr>
          </w:p>
        </w:tc>
      </w:tr>
    </w:tbl>
    <w:p w14:paraId="7F429EC7">
      <w:pPr>
        <w:pStyle w:val="9"/>
      </w:pPr>
    </w:p>
    <w:p w14:paraId="43565476">
      <w:pPr>
        <w:sectPr>
          <w:footerReference r:id="rId7" w:type="default"/>
          <w:pgSz w:w="11906" w:h="16838"/>
          <w:pgMar w:top="1701" w:right="1531" w:bottom="1531" w:left="1531" w:header="0" w:footer="986" w:gutter="0"/>
          <w:cols w:space="0" w:num="1"/>
        </w:sectPr>
      </w:pPr>
      <w:r>
        <w:rPr>
          <w:rFonts w:hint="eastAsia"/>
          <w:b/>
          <w:bCs/>
        </w:rPr>
        <w:t>注：以上清单格式仅供参考，可自行进行删减或增加。</w:t>
      </w:r>
    </w:p>
    <w:p w14:paraId="47D690E5">
      <w:pPr>
        <w:spacing w:line="360" w:lineRule="auto"/>
        <w:jc w:val="center"/>
        <w:rPr>
          <w:b/>
          <w:bCs/>
          <w:sz w:val="28"/>
          <w:szCs w:val="28"/>
        </w:rPr>
      </w:pPr>
      <w:bookmarkStart w:id="746" w:name="bookmark61"/>
      <w:bookmarkEnd w:id="746"/>
      <w:bookmarkStart w:id="747" w:name="bookmark62"/>
      <w:bookmarkEnd w:id="747"/>
      <w:r>
        <w:rPr>
          <w:rFonts w:hint="eastAsia"/>
          <w:b/>
          <w:bCs/>
          <w:sz w:val="28"/>
          <w:szCs w:val="28"/>
        </w:rPr>
        <w:t>二、法定代表人身份证明</w:t>
      </w:r>
    </w:p>
    <w:p w14:paraId="31B6122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供应商名称：</w:t>
      </w:r>
      <w:r>
        <w:rPr>
          <w:rFonts w:hint="eastAsia" w:asciiTheme="minorEastAsia" w:hAnsiTheme="minorEastAsia" w:eastAsiaTheme="minorEastAsia" w:cstheme="minorEastAsia"/>
          <w:sz w:val="24"/>
          <w:szCs w:val="24"/>
          <w:u w:val="single"/>
        </w:rPr>
        <w:t xml:space="preserve">                              </w:t>
      </w:r>
    </w:p>
    <w:p w14:paraId="0EDF0473">
      <w:pPr>
        <w:spacing w:line="360" w:lineRule="auto"/>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5"/>
          <w:sz w:val="24"/>
          <w:szCs w:val="24"/>
        </w:rPr>
        <w:t>单位性质：</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6"/>
          <w:sz w:val="24"/>
          <w:szCs w:val="24"/>
        </w:rPr>
        <w:t xml:space="preserve">  </w:t>
      </w:r>
    </w:p>
    <w:p w14:paraId="718F75B3">
      <w:pPr>
        <w:spacing w:line="360" w:lineRule="auto"/>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6"/>
          <w:sz w:val="24"/>
          <w:szCs w:val="24"/>
        </w:rPr>
        <w:t>地址：</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 xml:space="preserve">  </w:t>
      </w:r>
    </w:p>
    <w:p w14:paraId="1C2B1BA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z w:val="24"/>
          <w:szCs w:val="24"/>
        </w:rPr>
        <w:t xml:space="preserve">日 </w:t>
      </w:r>
    </w:p>
    <w:p w14:paraId="1EED998D">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经营期限：</w:t>
      </w:r>
      <w:r>
        <w:rPr>
          <w:rFonts w:hint="eastAsia" w:asciiTheme="minorEastAsia" w:hAnsiTheme="minorEastAsia" w:eastAsiaTheme="minorEastAsia" w:cstheme="minorEastAsia"/>
          <w:sz w:val="24"/>
          <w:szCs w:val="24"/>
          <w:u w:val="single"/>
        </w:rPr>
        <w:t xml:space="preserve">                                 </w:t>
      </w:r>
    </w:p>
    <w:p w14:paraId="6F382E87">
      <w:pPr>
        <w:tabs>
          <w:tab w:val="left" w:pos="6632"/>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姓名：</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 xml:space="preserve"> 性别：</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6"/>
          <w:sz w:val="24"/>
          <w:szCs w:val="24"/>
        </w:rPr>
        <w:t>年龄：</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6"/>
          <w:sz w:val="24"/>
          <w:szCs w:val="24"/>
        </w:rPr>
        <w:t>职务：</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6"/>
          <w:sz w:val="24"/>
          <w:szCs w:val="24"/>
        </w:rPr>
        <w:t>系</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（供</w:t>
      </w:r>
      <w:r>
        <w:rPr>
          <w:rFonts w:hint="eastAsia" w:asciiTheme="minorEastAsia" w:hAnsiTheme="minorEastAsia" w:eastAsiaTheme="minorEastAsia" w:cstheme="minorEastAsia"/>
          <w:spacing w:val="5"/>
          <w:sz w:val="24"/>
          <w:szCs w:val="24"/>
        </w:rPr>
        <w:t>应商名称）的法定代表人。</w:t>
      </w:r>
      <w:r>
        <w:rPr>
          <w:rFonts w:hint="eastAsia" w:asciiTheme="minorEastAsia" w:hAnsiTheme="minorEastAsia" w:eastAsiaTheme="minorEastAsia" w:cstheme="minorEastAsia"/>
          <w:sz w:val="24"/>
          <w:szCs w:val="24"/>
        </w:rPr>
        <w:t xml:space="preserve"> </w:t>
      </w:r>
    </w:p>
    <w:p w14:paraId="4A6E6826">
      <w:pPr>
        <w:tabs>
          <w:tab w:val="left" w:pos="6632"/>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特此证明。</w:t>
      </w:r>
    </w:p>
    <w:p w14:paraId="5E216FB4">
      <w:pPr>
        <w:pStyle w:val="9"/>
        <w:spacing w:line="265" w:lineRule="auto"/>
      </w:pPr>
    </w:p>
    <w:p w14:paraId="71C95BAA">
      <w:pPr>
        <w:pStyle w:val="9"/>
        <w:spacing w:line="266" w:lineRule="auto"/>
      </w:pPr>
    </w:p>
    <w:p w14:paraId="19126815">
      <w:pPr>
        <w:pStyle w:val="9"/>
        <w:spacing w:line="266" w:lineRule="auto"/>
      </w:pPr>
    </w:p>
    <w:p w14:paraId="03E63084">
      <w:pPr>
        <w:spacing w:line="360" w:lineRule="auto"/>
        <w:jc w:val="right"/>
        <w:rPr>
          <w:rFonts w:asciiTheme="minorEastAsia" w:hAnsiTheme="minorEastAsia" w:eastAsiaTheme="minorEastAsia" w:cstheme="minorEastAsia"/>
          <w:sz w:val="24"/>
          <w:szCs w:val="24"/>
        </w:rPr>
      </w:pPr>
      <w:bookmarkStart w:id="748" w:name="bookmark64"/>
      <w:bookmarkEnd w:id="748"/>
      <w:bookmarkStart w:id="749" w:name="bookmark63"/>
      <w:bookmarkEnd w:id="749"/>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008DC04B">
      <w:pPr>
        <w:spacing w:line="360" w:lineRule="auto"/>
        <w:ind w:firstLine="4500" w:firstLineChars="1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19F3D802">
      <w:pPr>
        <w:rPr>
          <w:b/>
          <w:bCs/>
          <w:sz w:val="28"/>
          <w:szCs w:val="28"/>
        </w:rPr>
      </w:pPr>
      <w:r>
        <w:rPr>
          <w:rFonts w:hint="eastAsia"/>
          <w:b/>
          <w:bCs/>
          <w:sz w:val="28"/>
          <w:szCs w:val="28"/>
        </w:rPr>
        <w:br w:type="page"/>
      </w:r>
    </w:p>
    <w:p w14:paraId="605F7D90">
      <w:pPr>
        <w:spacing w:line="360" w:lineRule="auto"/>
        <w:jc w:val="center"/>
        <w:rPr>
          <w:b/>
          <w:bCs/>
          <w:sz w:val="28"/>
          <w:szCs w:val="28"/>
        </w:rPr>
      </w:pPr>
      <w:r>
        <w:rPr>
          <w:rFonts w:hint="eastAsia"/>
          <w:b/>
          <w:bCs/>
          <w:sz w:val="28"/>
          <w:szCs w:val="28"/>
        </w:rPr>
        <w:t>三、授权委托书</w:t>
      </w:r>
    </w:p>
    <w:p w14:paraId="60C8A813">
      <w:pPr>
        <w:pStyle w:val="9"/>
        <w:spacing w:line="478" w:lineRule="auto"/>
      </w:pPr>
    </w:p>
    <w:p w14:paraId="2EDAFFE8">
      <w:pPr>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本人</w:t>
      </w:r>
      <w:r>
        <w:rPr>
          <w:rFonts w:hint="eastAsia" w:asciiTheme="minorEastAsia" w:hAnsiTheme="minorEastAsia" w:eastAsiaTheme="minorEastAsia" w:cstheme="minorEastAsia"/>
          <w:spacing w:val="8"/>
          <w:sz w:val="24"/>
          <w:szCs w:val="24"/>
          <w:u w:val="single"/>
        </w:rPr>
        <w:t xml:space="preserve">     </w:t>
      </w:r>
      <w:r>
        <w:rPr>
          <w:rFonts w:hint="eastAsia" w:asciiTheme="minorEastAsia" w:hAnsiTheme="minorEastAsia" w:eastAsiaTheme="minorEastAsia" w:cstheme="minorEastAsia"/>
          <w:spacing w:val="8"/>
          <w:sz w:val="24"/>
          <w:szCs w:val="24"/>
        </w:rPr>
        <w:t>（姓名）系</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8"/>
          <w:sz w:val="24"/>
          <w:szCs w:val="24"/>
          <w:u w:val="single"/>
        </w:rPr>
        <w:t xml:space="preserve">     </w:t>
      </w:r>
      <w:r>
        <w:rPr>
          <w:rFonts w:hint="eastAsia" w:asciiTheme="minorEastAsia" w:hAnsiTheme="minorEastAsia" w:eastAsiaTheme="minorEastAsia" w:cstheme="minorEastAsia"/>
          <w:spacing w:val="8"/>
          <w:sz w:val="24"/>
          <w:szCs w:val="24"/>
        </w:rPr>
        <w:t>（供应商名称</w:t>
      </w:r>
      <w:r>
        <w:rPr>
          <w:rFonts w:hint="eastAsia" w:asciiTheme="minorEastAsia" w:hAnsiTheme="minorEastAsia" w:eastAsiaTheme="minorEastAsia" w:cstheme="minorEastAsia"/>
          <w:spacing w:val="7"/>
          <w:sz w:val="24"/>
          <w:szCs w:val="24"/>
        </w:rPr>
        <w:t>）的法定代表人，现委托</w:t>
      </w:r>
      <w:r>
        <w:rPr>
          <w:rFonts w:hint="eastAsia" w:asciiTheme="minorEastAsia" w:hAnsiTheme="minorEastAsia" w:eastAsiaTheme="minorEastAsia" w:cstheme="minorEastAsia"/>
          <w:spacing w:val="7"/>
          <w:sz w:val="24"/>
          <w:szCs w:val="24"/>
          <w:u w:val="single"/>
        </w:rPr>
        <w:t xml:space="preserve">     </w:t>
      </w:r>
      <w:r>
        <w:rPr>
          <w:rFonts w:hint="eastAsia" w:asciiTheme="minorEastAsia" w:hAnsiTheme="minorEastAsia" w:eastAsiaTheme="minorEastAsia" w:cstheme="minorEastAsia"/>
          <w:spacing w:val="7"/>
          <w:sz w:val="24"/>
          <w:szCs w:val="24"/>
        </w:rPr>
        <w:t>（姓</w:t>
      </w:r>
      <w:r>
        <w:rPr>
          <w:rFonts w:hint="eastAsia" w:asciiTheme="minorEastAsia" w:hAnsiTheme="minorEastAsia" w:eastAsiaTheme="minorEastAsia" w:cstheme="minorEastAsia"/>
          <w:spacing w:val="9"/>
          <w:sz w:val="24"/>
          <w:szCs w:val="24"/>
        </w:rPr>
        <w:t>名）为我方代理人。代理人根据授权，以我方名义签署、澄清、说明、补正</w:t>
      </w:r>
      <w:r>
        <w:rPr>
          <w:rFonts w:hint="eastAsia" w:asciiTheme="minorEastAsia" w:hAnsiTheme="minorEastAsia" w:eastAsiaTheme="minorEastAsia" w:cstheme="minorEastAsia"/>
          <w:spacing w:val="8"/>
          <w:sz w:val="24"/>
          <w:szCs w:val="24"/>
        </w:rPr>
        <w:t>、递交、撤回、</w:t>
      </w:r>
      <w:r>
        <w:rPr>
          <w:rFonts w:hint="eastAsia" w:asciiTheme="minorEastAsia" w:hAnsiTheme="minorEastAsia" w:eastAsiaTheme="minorEastAsia" w:cstheme="minorEastAsia"/>
          <w:spacing w:val="9"/>
          <w:sz w:val="24"/>
          <w:szCs w:val="24"/>
        </w:rPr>
        <w:t>修改</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9"/>
          <w:sz w:val="24"/>
          <w:szCs w:val="24"/>
          <w:u w:val="single"/>
        </w:rPr>
        <w:t xml:space="preserve">  （项目名称）   </w:t>
      </w:r>
      <w:r>
        <w:rPr>
          <w:rFonts w:hint="eastAsia" w:asciiTheme="minorEastAsia" w:hAnsiTheme="minorEastAsia" w:eastAsiaTheme="minorEastAsia" w:cstheme="minorEastAsia"/>
          <w:spacing w:val="9"/>
          <w:sz w:val="24"/>
          <w:szCs w:val="24"/>
        </w:rPr>
        <w:t>响应文件、签订合同和处理有关事</w:t>
      </w:r>
      <w:r>
        <w:rPr>
          <w:rFonts w:hint="eastAsia" w:asciiTheme="minorEastAsia" w:hAnsiTheme="minorEastAsia" w:eastAsiaTheme="minorEastAsia" w:cstheme="minorEastAsia"/>
          <w:spacing w:val="8"/>
          <w:sz w:val="24"/>
          <w:szCs w:val="24"/>
        </w:rPr>
        <w:t>宜，其法律后果由我方承</w:t>
      </w:r>
      <w:r>
        <w:rPr>
          <w:rFonts w:hint="eastAsia" w:asciiTheme="minorEastAsia" w:hAnsiTheme="minorEastAsia" w:eastAsiaTheme="minorEastAsia" w:cstheme="minorEastAsia"/>
          <w:sz w:val="24"/>
          <w:szCs w:val="24"/>
        </w:rPr>
        <w:t xml:space="preserve"> 担。</w:t>
      </w:r>
    </w:p>
    <w:p w14:paraId="0D7CBCEB">
      <w:pPr>
        <w:spacing w:line="360" w:lineRule="auto"/>
        <w:ind w:firstLine="48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委托期限：</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7"/>
          <w:sz w:val="24"/>
          <w:szCs w:val="24"/>
        </w:rPr>
        <w:t>代理人无转委托权。</w:t>
      </w:r>
    </w:p>
    <w:p w14:paraId="41D0A138">
      <w:pPr>
        <w:spacing w:line="360" w:lineRule="auto"/>
        <w:ind w:firstLine="51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附：法定代表人和委托代理人身份证复印件</w:t>
      </w:r>
      <w:r>
        <w:rPr>
          <w:rFonts w:hint="eastAsia" w:asciiTheme="minorEastAsia" w:hAnsiTheme="minorEastAsia" w:eastAsiaTheme="minorEastAsia" w:cstheme="minorEastAsia"/>
          <w:spacing w:val="8"/>
          <w:sz w:val="24"/>
          <w:szCs w:val="24"/>
        </w:rPr>
        <w:t>或扫描件</w:t>
      </w:r>
    </w:p>
    <w:p w14:paraId="7E44F8A2">
      <w:pPr>
        <w:spacing w:line="360" w:lineRule="auto"/>
        <w:jc w:val="right"/>
        <w:rPr>
          <w:rFonts w:asciiTheme="minorEastAsia" w:hAnsiTheme="minorEastAsia" w:eastAsiaTheme="minorEastAsia" w:cstheme="minorEastAsia"/>
          <w:spacing w:val="10"/>
          <w:sz w:val="24"/>
          <w:szCs w:val="24"/>
        </w:rPr>
      </w:pPr>
      <w:bookmarkStart w:id="750" w:name="bookmark65"/>
      <w:bookmarkEnd w:id="750"/>
      <w:bookmarkStart w:id="751" w:name="bookmark66"/>
      <w:bookmarkEnd w:id="751"/>
    </w:p>
    <w:p w14:paraId="1B5635D9">
      <w:pPr>
        <w:spacing w:line="360" w:lineRule="auto"/>
        <w:jc w:val="right"/>
        <w:rPr>
          <w:rFonts w:asciiTheme="minorEastAsia" w:hAnsiTheme="minorEastAsia" w:eastAsiaTheme="minorEastAsia" w:cstheme="minorEastAsia"/>
          <w:spacing w:val="10"/>
          <w:sz w:val="24"/>
          <w:szCs w:val="24"/>
        </w:rPr>
      </w:pPr>
    </w:p>
    <w:p w14:paraId="7CB6A2ED">
      <w:pPr>
        <w:spacing w:line="360" w:lineRule="auto"/>
        <w:jc w:val="right"/>
        <w:rPr>
          <w:rFonts w:asciiTheme="minorEastAsia" w:hAnsiTheme="minorEastAsia" w:eastAsiaTheme="minorEastAsia" w:cstheme="minorEastAsia"/>
          <w:spacing w:val="10"/>
          <w:sz w:val="24"/>
          <w:szCs w:val="24"/>
        </w:rPr>
      </w:pPr>
    </w:p>
    <w:p w14:paraId="610FD3FC">
      <w:pPr>
        <w:spacing w:line="360" w:lineRule="auto"/>
        <w:jc w:val="right"/>
        <w:rPr>
          <w:rFonts w:asciiTheme="minorEastAsia" w:hAnsiTheme="minorEastAsia" w:eastAsiaTheme="minorEastAsia" w:cstheme="minorEastAsia"/>
          <w:spacing w:val="10"/>
          <w:sz w:val="24"/>
          <w:szCs w:val="24"/>
        </w:rPr>
      </w:pPr>
    </w:p>
    <w:p w14:paraId="09A75E5C">
      <w:pPr>
        <w:spacing w:line="360" w:lineRule="auto"/>
        <w:jc w:val="right"/>
        <w:rPr>
          <w:rFonts w:asciiTheme="minorEastAsia" w:hAnsiTheme="minorEastAsia" w:eastAsiaTheme="minorEastAsia" w:cstheme="minorEastAsia"/>
          <w:spacing w:val="10"/>
          <w:sz w:val="24"/>
          <w:szCs w:val="24"/>
        </w:rPr>
      </w:pPr>
    </w:p>
    <w:p w14:paraId="5BBB65EF">
      <w:pPr>
        <w:spacing w:line="360" w:lineRule="auto"/>
        <w:jc w:val="right"/>
        <w:rPr>
          <w:rFonts w:asciiTheme="minorEastAsia" w:hAnsiTheme="minorEastAsia" w:eastAsiaTheme="minorEastAsia" w:cstheme="minorEastAsia"/>
          <w:spacing w:val="10"/>
          <w:sz w:val="24"/>
          <w:szCs w:val="24"/>
        </w:rPr>
      </w:pPr>
    </w:p>
    <w:p w14:paraId="2CBC0C72">
      <w:pPr>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35AEB3AF">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法定代表人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336F2922">
      <w:pPr>
        <w:spacing w:line="360" w:lineRule="auto"/>
        <w:ind w:firstLine="3250" w:firstLineChars="1300"/>
        <w:rPr>
          <w:rFonts w:asciiTheme="minorEastAsia" w:hAnsiTheme="minorEastAsia" w:eastAsiaTheme="minorEastAsia" w:cstheme="minorEastAsia"/>
          <w:spacing w:val="5"/>
          <w:sz w:val="24"/>
          <w:szCs w:val="24"/>
          <w:u w:val="single"/>
        </w:rPr>
      </w:pPr>
      <w:r>
        <w:rPr>
          <w:rFonts w:hint="eastAsia" w:asciiTheme="minorEastAsia" w:hAnsiTheme="minorEastAsia" w:eastAsiaTheme="minorEastAsia" w:cstheme="minorEastAsia"/>
          <w:spacing w:val="5"/>
          <w:sz w:val="24"/>
          <w:szCs w:val="24"/>
        </w:rPr>
        <w:t>身份证号码：</w:t>
      </w:r>
      <w:r>
        <w:rPr>
          <w:rFonts w:hint="eastAsia" w:asciiTheme="minorEastAsia" w:hAnsiTheme="minorEastAsia" w:eastAsiaTheme="minorEastAsia" w:cstheme="minorEastAsia"/>
          <w:spacing w:val="5"/>
          <w:sz w:val="24"/>
          <w:szCs w:val="24"/>
          <w:u w:val="single"/>
        </w:rPr>
        <w:t xml:space="preserve">                      </w:t>
      </w:r>
    </w:p>
    <w:p w14:paraId="0684DF33">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委托代理人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3A1AB1FB">
      <w:pPr>
        <w:spacing w:line="360" w:lineRule="auto"/>
        <w:ind w:firstLine="3250" w:firstLineChars="1300"/>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身份证号码：</w:t>
      </w:r>
      <w:r>
        <w:rPr>
          <w:rFonts w:hint="eastAsia" w:asciiTheme="minorEastAsia" w:hAnsiTheme="minorEastAsia" w:eastAsiaTheme="minorEastAsia" w:cstheme="minorEastAsia"/>
          <w:spacing w:val="5"/>
          <w:sz w:val="24"/>
          <w:szCs w:val="24"/>
          <w:u w:val="single"/>
        </w:rPr>
        <w:t xml:space="preserve">                      </w:t>
      </w:r>
    </w:p>
    <w:p w14:paraId="4177242B">
      <w:pPr>
        <w:spacing w:line="360" w:lineRule="auto"/>
        <w:ind w:firstLine="4500" w:firstLineChars="1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27643226">
      <w:pPr>
        <w:rPr>
          <w:b/>
          <w:bCs/>
          <w:sz w:val="28"/>
          <w:szCs w:val="28"/>
        </w:rPr>
      </w:pPr>
      <w:r>
        <w:rPr>
          <w:rFonts w:hint="eastAsia"/>
          <w:b/>
          <w:bCs/>
          <w:sz w:val="28"/>
          <w:szCs w:val="28"/>
        </w:rPr>
        <w:br w:type="page"/>
      </w:r>
    </w:p>
    <w:p w14:paraId="6B245682">
      <w:pPr>
        <w:spacing w:line="360" w:lineRule="auto"/>
        <w:jc w:val="center"/>
        <w:rPr>
          <w:b/>
          <w:bCs/>
          <w:sz w:val="28"/>
          <w:szCs w:val="28"/>
        </w:rPr>
      </w:pPr>
      <w:r>
        <w:rPr>
          <w:rFonts w:hint="eastAsia"/>
          <w:b/>
          <w:bCs/>
          <w:sz w:val="28"/>
          <w:szCs w:val="28"/>
        </w:rPr>
        <w:t>四、磋商承诺函</w:t>
      </w:r>
    </w:p>
    <w:p w14:paraId="672A9F96">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1.磋商承诺函</w:t>
      </w:r>
    </w:p>
    <w:p w14:paraId="6B3AC948">
      <w:pPr>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致（采购代理机构</w:t>
      </w:r>
      <w:r>
        <w:rPr>
          <w:rFonts w:hint="eastAsia" w:asciiTheme="minorEastAsia" w:hAnsiTheme="minorEastAsia" w:eastAsiaTheme="minorEastAsia" w:cstheme="minorEastAsia"/>
          <w:spacing w:val="2"/>
          <w:sz w:val="24"/>
          <w:szCs w:val="24"/>
        </w:rPr>
        <w:t>）：</w:t>
      </w:r>
    </w:p>
    <w:p w14:paraId="7DEB2064">
      <w:pPr>
        <w:spacing w:line="360" w:lineRule="auto"/>
        <w:ind w:firstLine="5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我公司作为本次采购项目</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21"/>
          <w:sz w:val="24"/>
          <w:szCs w:val="24"/>
        </w:rPr>
        <w:t>的供应商，根据磋商文件要求，现郑重承诺如下：</w:t>
      </w:r>
    </w:p>
    <w:p w14:paraId="1D488BB5">
      <w:pPr>
        <w:spacing w:line="360" w:lineRule="auto"/>
        <w:ind w:firstLine="544" w:firstLineChars="200"/>
        <w:jc w:val="right"/>
        <w:rPr>
          <w:rFonts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16"/>
          <w:sz w:val="24"/>
          <w:szCs w:val="24"/>
        </w:rPr>
        <w:t>一、具备《中华人民共和国政府采购法》第二十二条第一款和本项目规</w:t>
      </w:r>
    </w:p>
    <w:p w14:paraId="00EF563A">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定的条件：</w:t>
      </w:r>
    </w:p>
    <w:p w14:paraId="33B45373">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（一）具有独立承担民事责任的能力；</w:t>
      </w:r>
    </w:p>
    <w:p w14:paraId="28C56396">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（二）具有良好的商业信誉和健全的财务会计制度；</w:t>
      </w:r>
    </w:p>
    <w:p w14:paraId="237A79E7">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（三）具有履行合同所必需的设备和专业技术能力；</w:t>
      </w:r>
    </w:p>
    <w:p w14:paraId="5672D826">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（四）有依法缴纳税收和社会保障资金的良好记录；</w:t>
      </w:r>
    </w:p>
    <w:p w14:paraId="0DC2C218">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（五）参加政府采购活动前三年内，在经营活动中没有重大违法记录；</w:t>
      </w:r>
    </w:p>
    <w:p w14:paraId="62B6B3F6">
      <w:pPr>
        <w:spacing w:line="360" w:lineRule="auto"/>
        <w:ind w:left="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（六）法律、行政法规规定的其他条件；</w:t>
      </w:r>
    </w:p>
    <w:p w14:paraId="4CA1D0FC">
      <w:pPr>
        <w:spacing w:line="36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pacing w:val="13"/>
          <w:sz w:val="24"/>
          <w:szCs w:val="24"/>
        </w:rPr>
        <w:t>根据采购项目提出的特殊条件。</w:t>
      </w:r>
    </w:p>
    <w:p w14:paraId="1270FDA2">
      <w:pPr>
        <w:spacing w:line="360" w:lineRule="auto"/>
        <w:ind w:firstLine="55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二、完全接受和满足本项目磋商文件中规定的实质性要求，如对磋商文件有异议，</w:t>
      </w:r>
      <w:r>
        <w:rPr>
          <w:rFonts w:hint="eastAsia" w:asciiTheme="minorEastAsia" w:hAnsiTheme="minorEastAsia" w:eastAsiaTheme="minorEastAsia" w:cstheme="minorEastAsia"/>
          <w:spacing w:val="23"/>
          <w:sz w:val="24"/>
          <w:szCs w:val="24"/>
        </w:rPr>
        <w:t>已经在提交响应文件截止时间届满前依法进行维权救济，不存在对</w:t>
      </w:r>
      <w:r>
        <w:rPr>
          <w:rFonts w:hint="eastAsia" w:asciiTheme="minorEastAsia" w:hAnsiTheme="minorEastAsia" w:eastAsiaTheme="minorEastAsia" w:cstheme="minorEastAsia"/>
          <w:spacing w:val="22"/>
          <w:sz w:val="24"/>
          <w:szCs w:val="24"/>
        </w:rPr>
        <w:t>磋商文件有异议的</w:t>
      </w:r>
      <w:r>
        <w:rPr>
          <w:rFonts w:hint="eastAsia" w:asciiTheme="minorEastAsia" w:hAnsiTheme="minorEastAsia" w:eastAsiaTheme="minorEastAsia" w:cstheme="minorEastAsia"/>
          <w:spacing w:val="21"/>
          <w:sz w:val="24"/>
          <w:szCs w:val="24"/>
        </w:rPr>
        <w:t>同时又参加采购以求侥幸成交或者为实现其他非法目的的行为。</w:t>
      </w:r>
    </w:p>
    <w:p w14:paraId="34FF04EA">
      <w:pPr>
        <w:spacing w:line="360" w:lineRule="auto"/>
        <w:ind w:firstLine="57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三、参加本次竞争性磋商采购活动，不存在为采购项目提供整体设计</w:t>
      </w:r>
      <w:r>
        <w:rPr>
          <w:rFonts w:hint="eastAsia" w:asciiTheme="minorEastAsia" w:hAnsiTheme="minorEastAsia" w:eastAsiaTheme="minorEastAsia" w:cstheme="minorEastAsia"/>
          <w:spacing w:val="22"/>
          <w:sz w:val="24"/>
          <w:szCs w:val="24"/>
        </w:rPr>
        <w:t>、规范编制</w:t>
      </w:r>
      <w:r>
        <w:rPr>
          <w:rFonts w:hint="eastAsia" w:asciiTheme="minorEastAsia" w:hAnsiTheme="minorEastAsia" w:eastAsiaTheme="minorEastAsia" w:cstheme="minorEastAsia"/>
          <w:spacing w:val="21"/>
          <w:sz w:val="24"/>
          <w:szCs w:val="24"/>
        </w:rPr>
        <w:t>或者项目管理、监理、检测等服务的行为。</w:t>
      </w:r>
    </w:p>
    <w:p w14:paraId="0AA3AB1A">
      <w:pPr>
        <w:spacing w:line="360" w:lineRule="auto"/>
        <w:ind w:firstLine="5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四、参加本次竞争性磋商采购活动，不存在和其他供应商在同一合同项下的采购</w:t>
      </w:r>
      <w:r>
        <w:rPr>
          <w:rFonts w:hint="eastAsia" w:asciiTheme="minorEastAsia" w:hAnsiTheme="minorEastAsia" w:eastAsiaTheme="minorEastAsia" w:cstheme="minorEastAsia"/>
          <w:spacing w:val="16"/>
          <w:sz w:val="24"/>
          <w:szCs w:val="24"/>
        </w:rPr>
        <w:t>项目</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16"/>
          <w:sz w:val="24"/>
          <w:szCs w:val="24"/>
        </w:rPr>
        <w:t>中，</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6"/>
          <w:sz w:val="24"/>
          <w:szCs w:val="24"/>
        </w:rPr>
        <w:t>同时委托同一个自然人、</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6"/>
          <w:sz w:val="24"/>
          <w:szCs w:val="24"/>
        </w:rPr>
        <w:t>同一家庭的人员、</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6"/>
          <w:sz w:val="24"/>
          <w:szCs w:val="24"/>
        </w:rPr>
        <w:t>同一单位的人员作为代理人的行</w:t>
      </w:r>
      <w:r>
        <w:rPr>
          <w:rFonts w:hint="eastAsia" w:asciiTheme="minorEastAsia" w:hAnsiTheme="minorEastAsia" w:eastAsiaTheme="minorEastAsia" w:cstheme="minorEastAsia"/>
          <w:spacing w:val="-1"/>
          <w:sz w:val="24"/>
          <w:szCs w:val="24"/>
        </w:rPr>
        <w:t>为。</w:t>
      </w:r>
    </w:p>
    <w:p w14:paraId="09A9E848">
      <w:pPr>
        <w:spacing w:line="360" w:lineRule="auto"/>
        <w:ind w:firstLine="57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五、供应商参加本次政府采购活动要求在近三年内供应商和其法定</w:t>
      </w:r>
      <w:r>
        <w:rPr>
          <w:rFonts w:hint="eastAsia" w:asciiTheme="minorEastAsia" w:hAnsiTheme="minorEastAsia" w:eastAsiaTheme="minorEastAsia" w:cstheme="minorEastAsia"/>
          <w:spacing w:val="22"/>
          <w:sz w:val="24"/>
          <w:szCs w:val="24"/>
        </w:rPr>
        <w:t>代表人没有行</w:t>
      </w:r>
      <w:r>
        <w:rPr>
          <w:rFonts w:hint="eastAsia" w:asciiTheme="minorEastAsia" w:hAnsiTheme="minorEastAsia" w:eastAsiaTheme="minorEastAsia" w:cstheme="minorEastAsia"/>
          <w:spacing w:val="16"/>
          <w:sz w:val="24"/>
          <w:szCs w:val="24"/>
        </w:rPr>
        <w:t>贿犯罪行为。</w:t>
      </w:r>
    </w:p>
    <w:p w14:paraId="1C12F6A9">
      <w:pPr>
        <w:spacing w:line="360" w:lineRule="auto"/>
        <w:ind w:firstLine="5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六、参加本次竞争性磋商采购活动，不存在联合体投标。</w:t>
      </w:r>
    </w:p>
    <w:p w14:paraId="5725F243">
      <w:pPr>
        <w:spacing w:line="360" w:lineRule="auto"/>
        <w:ind w:firstLine="57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七、响应文件中提供的能够给我公司带来优惠、好处的任何材料资料和</w:t>
      </w:r>
      <w:r>
        <w:rPr>
          <w:rFonts w:hint="eastAsia" w:asciiTheme="minorEastAsia" w:hAnsiTheme="minorEastAsia" w:eastAsiaTheme="minorEastAsia" w:cstheme="minorEastAsia"/>
          <w:spacing w:val="22"/>
          <w:sz w:val="24"/>
          <w:szCs w:val="24"/>
        </w:rPr>
        <w:t>技术、服务、商务等响应承诺情况都是真实的、有效的、合法的。</w:t>
      </w:r>
    </w:p>
    <w:p w14:paraId="6202EDEA">
      <w:pPr>
        <w:spacing w:line="360" w:lineRule="auto"/>
        <w:ind w:firstLine="56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八、存在以下行为之一的愿意接受相关部门的处理：</w:t>
      </w:r>
    </w:p>
    <w:p w14:paraId="35D5CD69">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（一）磋商有效期内撤销响应文件的；</w:t>
      </w:r>
    </w:p>
    <w:p w14:paraId="77674B7F">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（二）在采购人确定成交供应商以前放弃成交候选资格的；</w:t>
      </w:r>
    </w:p>
    <w:p w14:paraId="3A077ED5">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（三）由于成交供应商的原因未能按照磋商文件的规定与采购人签订合同；</w:t>
      </w:r>
    </w:p>
    <w:p w14:paraId="59B387C9">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（四）在响应文件中提供虚假材料谋取成交；</w:t>
      </w:r>
    </w:p>
    <w:p w14:paraId="613F79EA">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（五）与采购人、其他供应商或者采购代理机构恶意串通的；</w:t>
      </w:r>
    </w:p>
    <w:p w14:paraId="4EACCB63">
      <w:pPr>
        <w:spacing w:line="360" w:lineRule="auto"/>
        <w:ind w:firstLine="420"/>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（六）磋商有效期内，供应商在政府采购活动中有违法、违规、违纪行为。</w:t>
      </w:r>
    </w:p>
    <w:p w14:paraId="57F735F7">
      <w:pPr>
        <w:spacing w:line="360" w:lineRule="auto"/>
        <w:ind w:firstLine="5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由此产生的一切法律后果和责任由我公司承担</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22"/>
          <w:sz w:val="24"/>
          <w:szCs w:val="24"/>
        </w:rPr>
        <w:t>我公司声明放弃对此</w:t>
      </w:r>
      <w:r>
        <w:rPr>
          <w:rFonts w:hint="eastAsia" w:asciiTheme="minorEastAsia" w:hAnsiTheme="minorEastAsia" w:eastAsiaTheme="minorEastAsia" w:cstheme="minorEastAsia"/>
          <w:spacing w:val="21"/>
          <w:sz w:val="24"/>
          <w:szCs w:val="24"/>
        </w:rPr>
        <w:t>提出任何异</w:t>
      </w:r>
      <w:r>
        <w:rPr>
          <w:rFonts w:hint="eastAsia" w:asciiTheme="minorEastAsia" w:hAnsiTheme="minorEastAsia" w:eastAsiaTheme="minorEastAsia" w:cstheme="minorEastAsia"/>
          <w:spacing w:val="17"/>
          <w:sz w:val="24"/>
          <w:szCs w:val="24"/>
        </w:rPr>
        <w:t>议和追索的权利。</w:t>
      </w:r>
    </w:p>
    <w:p w14:paraId="25ACEF3E">
      <w:pPr>
        <w:spacing w:line="360" w:lineRule="auto"/>
        <w:ind w:firstLine="5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本公司对上述承诺的内容事项真实性负责。如经查实上述承诺的内容事项存在虚假，我公司愿意接受以提供虚假材料谋取成交追究法律责任。</w:t>
      </w:r>
    </w:p>
    <w:p w14:paraId="60123DF9">
      <w:pPr>
        <w:pStyle w:val="9"/>
        <w:spacing w:line="432" w:lineRule="auto"/>
      </w:pPr>
    </w:p>
    <w:p w14:paraId="13FFDEF8">
      <w:pPr>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7DA7A3D2">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22268D0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2FE6250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764CAE2">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2.招标代理服务费承诺函</w:t>
      </w:r>
    </w:p>
    <w:p w14:paraId="37DA197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致（采购代理机构</w:t>
      </w:r>
      <w:r>
        <w:rPr>
          <w:rFonts w:hint="eastAsia" w:asciiTheme="minorEastAsia" w:hAnsiTheme="minorEastAsia" w:eastAsiaTheme="minorEastAsia" w:cstheme="minorEastAsia"/>
          <w:spacing w:val="3"/>
          <w:sz w:val="24"/>
          <w:szCs w:val="24"/>
        </w:rPr>
        <w:t>）：</w:t>
      </w:r>
    </w:p>
    <w:p w14:paraId="432CE892">
      <w:pPr>
        <w:spacing w:line="360" w:lineRule="auto"/>
        <w:ind w:firstLine="55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我们在贵公司组织的</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9"/>
          <w:sz w:val="24"/>
          <w:szCs w:val="24"/>
          <w:u w:val="single"/>
        </w:rPr>
        <w:t xml:space="preserve">  （项目名称）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9"/>
          <w:sz w:val="24"/>
          <w:szCs w:val="24"/>
        </w:rPr>
        <w:t>招标</w:t>
      </w:r>
      <w:r>
        <w:rPr>
          <w:rFonts w:hint="eastAsia" w:asciiTheme="minorEastAsia" w:hAnsiTheme="minorEastAsia" w:eastAsiaTheme="minorEastAsia" w:cstheme="minorEastAsia"/>
          <w:spacing w:val="16"/>
          <w:sz w:val="24"/>
          <w:szCs w:val="24"/>
        </w:rPr>
        <w:t>中若获成交</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6"/>
          <w:sz w:val="24"/>
          <w:szCs w:val="24"/>
        </w:rPr>
        <w:t>，我们保证在成交公告发布后5个工作日</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6"/>
          <w:sz w:val="24"/>
          <w:szCs w:val="24"/>
        </w:rPr>
        <w:t>内</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6"/>
          <w:sz w:val="24"/>
          <w:szCs w:val="24"/>
        </w:rPr>
        <w:t>，按磋商文件的规定</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6"/>
          <w:sz w:val="24"/>
          <w:szCs w:val="24"/>
        </w:rPr>
        <w:t>以银行</w:t>
      </w:r>
      <w:r>
        <w:rPr>
          <w:rFonts w:hint="eastAsia" w:asciiTheme="minorEastAsia" w:hAnsiTheme="minorEastAsia" w:eastAsiaTheme="minorEastAsia" w:cstheme="minorEastAsia"/>
          <w:spacing w:val="19"/>
          <w:sz w:val="24"/>
          <w:szCs w:val="24"/>
        </w:rPr>
        <w:t>转账或现金</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9"/>
          <w:sz w:val="24"/>
          <w:szCs w:val="24"/>
        </w:rPr>
        <w:t>向贵公司一次性支付招标代理服务</w:t>
      </w:r>
      <w:r>
        <w:rPr>
          <w:rFonts w:hint="eastAsia" w:asciiTheme="minorEastAsia" w:hAnsiTheme="minorEastAsia" w:eastAsiaTheme="minorEastAsia" w:cstheme="minorEastAsia"/>
          <w:spacing w:val="18"/>
          <w:sz w:val="24"/>
          <w:szCs w:val="24"/>
        </w:rPr>
        <w:t>费用</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8"/>
          <w:sz w:val="24"/>
          <w:szCs w:val="24"/>
        </w:rPr>
        <w:t>。否则，</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8"/>
          <w:sz w:val="24"/>
          <w:szCs w:val="24"/>
        </w:rPr>
        <w:t>由此产生的一切法律后</w:t>
      </w:r>
      <w:r>
        <w:rPr>
          <w:rFonts w:hint="eastAsia" w:asciiTheme="minorEastAsia" w:hAnsiTheme="minorEastAsia" w:eastAsiaTheme="minorEastAsia" w:cstheme="minorEastAsia"/>
          <w:spacing w:val="21"/>
          <w:sz w:val="24"/>
          <w:szCs w:val="24"/>
        </w:rPr>
        <w:t>果和责任由我公司承担</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21"/>
          <w:sz w:val="24"/>
          <w:szCs w:val="24"/>
        </w:rPr>
        <w:t>。我公司声明放弃对此提出任何异议和追索的权利。</w:t>
      </w:r>
    </w:p>
    <w:p w14:paraId="3F7B2F30">
      <w:pPr>
        <w:spacing w:line="360" w:lineRule="auto"/>
        <w:ind w:firstLine="53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特此承诺。</w:t>
      </w:r>
    </w:p>
    <w:p w14:paraId="35C21229">
      <w:pPr>
        <w:pStyle w:val="9"/>
        <w:spacing w:line="271" w:lineRule="auto"/>
      </w:pPr>
    </w:p>
    <w:p w14:paraId="137BD73F">
      <w:pPr>
        <w:pStyle w:val="9"/>
        <w:spacing w:line="271" w:lineRule="auto"/>
      </w:pPr>
    </w:p>
    <w:p w14:paraId="0D184FEE">
      <w:pPr>
        <w:pStyle w:val="9"/>
        <w:spacing w:line="271" w:lineRule="auto"/>
      </w:pPr>
    </w:p>
    <w:p w14:paraId="2975F952">
      <w:pPr>
        <w:pStyle w:val="9"/>
        <w:spacing w:line="272" w:lineRule="auto"/>
      </w:pPr>
    </w:p>
    <w:p w14:paraId="1CA13562">
      <w:pPr>
        <w:spacing w:line="360" w:lineRule="auto"/>
        <w:jc w:val="right"/>
        <w:rPr>
          <w:rFonts w:asciiTheme="minorEastAsia" w:hAnsiTheme="minorEastAsia" w:eastAsiaTheme="minorEastAsia" w:cstheme="minorEastAsia"/>
          <w:sz w:val="24"/>
          <w:szCs w:val="24"/>
        </w:rPr>
      </w:pPr>
      <w:bookmarkStart w:id="752" w:name="bookmark67"/>
      <w:bookmarkEnd w:id="752"/>
      <w:bookmarkStart w:id="753" w:name="bookmark68"/>
      <w:bookmarkEnd w:id="753"/>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4C9875C7">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52C5DEE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208AD0B5">
      <w:pPr>
        <w:rPr>
          <w:b/>
          <w:bCs/>
          <w:sz w:val="28"/>
          <w:szCs w:val="28"/>
        </w:rPr>
      </w:pPr>
      <w:r>
        <w:rPr>
          <w:rFonts w:hint="eastAsia"/>
          <w:b/>
          <w:bCs/>
          <w:sz w:val="28"/>
          <w:szCs w:val="28"/>
        </w:rPr>
        <w:br w:type="page"/>
      </w:r>
    </w:p>
    <w:p w14:paraId="6B54B531">
      <w:pPr>
        <w:spacing w:line="360" w:lineRule="auto"/>
        <w:jc w:val="center"/>
        <w:rPr>
          <w:b/>
          <w:bCs/>
          <w:sz w:val="28"/>
          <w:szCs w:val="28"/>
        </w:rPr>
      </w:pPr>
      <w:r>
        <w:rPr>
          <w:rFonts w:hint="eastAsia"/>
          <w:b/>
          <w:bCs/>
          <w:sz w:val="28"/>
          <w:szCs w:val="28"/>
        </w:rPr>
        <w:t>五、已标价工程量清单</w:t>
      </w:r>
    </w:p>
    <w:p w14:paraId="1DE329A9">
      <w:pPr>
        <w:spacing w:line="222" w:lineRule="auto"/>
        <w:rPr>
          <w:rFonts w:ascii="黑体" w:hAnsi="黑体" w:eastAsia="黑体" w:cs="黑体"/>
          <w:sz w:val="28"/>
          <w:szCs w:val="28"/>
        </w:rPr>
        <w:sectPr>
          <w:footerReference r:id="rId8" w:type="default"/>
          <w:pgSz w:w="11906" w:h="16838"/>
          <w:pgMar w:top="1701" w:right="1531" w:bottom="1531" w:left="1531" w:header="0" w:footer="986" w:gutter="0"/>
          <w:cols w:space="0" w:num="1"/>
        </w:sectPr>
      </w:pPr>
    </w:p>
    <w:p w14:paraId="2BB9B2E2">
      <w:pPr>
        <w:spacing w:line="360" w:lineRule="auto"/>
        <w:jc w:val="center"/>
        <w:rPr>
          <w:b/>
          <w:bCs/>
          <w:sz w:val="28"/>
          <w:szCs w:val="28"/>
        </w:rPr>
      </w:pPr>
      <w:bookmarkStart w:id="754" w:name="bookmark70"/>
      <w:bookmarkEnd w:id="754"/>
      <w:bookmarkStart w:id="755" w:name="bookmark69"/>
      <w:bookmarkEnd w:id="755"/>
      <w:r>
        <w:rPr>
          <w:rFonts w:hint="eastAsia"/>
          <w:b/>
          <w:bCs/>
          <w:sz w:val="28"/>
          <w:szCs w:val="28"/>
        </w:rPr>
        <w:t>六、施工组织设计</w:t>
      </w:r>
    </w:p>
    <w:p w14:paraId="61379A42">
      <w:pPr>
        <w:wordWrap w:val="0"/>
        <w:topLinePunct/>
        <w:spacing w:line="360" w:lineRule="auto"/>
        <w:ind w:firstLine="52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供应商编制施工组织设计的要求：内容完整性和编制水平、施工方案与技术措施、质量管理体系与措施、安全文明施工管理体系与措施、施工工期、工程进度计划与措施、环境保护管理体系与措施、资源配备计划、成品保护和工程保修工作的管理措施和承诺</w:t>
      </w:r>
      <w:r>
        <w:rPr>
          <w:rFonts w:hint="eastAsia" w:asciiTheme="minorEastAsia" w:hAnsiTheme="minorEastAsia" w:eastAsiaTheme="minorEastAsia" w:cstheme="minorEastAsia"/>
          <w:spacing w:val="9"/>
          <w:sz w:val="24"/>
          <w:szCs w:val="24"/>
        </w:rPr>
        <w:t>等主要措施。</w:t>
      </w:r>
    </w:p>
    <w:p w14:paraId="61070DCB">
      <w:pPr>
        <w:wordWrap w:val="0"/>
        <w:topLinePunct/>
        <w:spacing w:line="360" w:lineRule="auto"/>
        <w:ind w:firstLine="49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2.图表及格式要求：</w:t>
      </w:r>
    </w:p>
    <w:p w14:paraId="18A19632">
      <w:pPr>
        <w:wordWrap w:val="0"/>
        <w:topLinePunct/>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附表一拟投入的主要施工设备表</w:t>
      </w:r>
    </w:p>
    <w:p w14:paraId="3AA41359">
      <w:pPr>
        <w:wordWrap w:val="0"/>
        <w:topLinePunct/>
        <w:spacing w:line="360" w:lineRule="auto"/>
        <w:ind w:firstLine="50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附表二劳动力计划表</w:t>
      </w:r>
    </w:p>
    <w:p w14:paraId="1AC9B2ED">
      <w:pPr>
        <w:wordWrap w:val="0"/>
        <w:topLinePunct/>
        <w:spacing w:line="360" w:lineRule="auto"/>
        <w:ind w:firstLine="50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附表三进度计划</w:t>
      </w:r>
    </w:p>
    <w:p w14:paraId="29DC182F">
      <w:pPr>
        <w:wordWrap w:val="0"/>
        <w:topLinePunct/>
        <w:spacing w:line="360" w:lineRule="auto"/>
        <w:ind w:firstLine="50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附表四施工总平面图</w:t>
      </w:r>
    </w:p>
    <w:p w14:paraId="0C3C4568">
      <w:pPr>
        <w:wordWrap w:val="0"/>
        <w:topLinePunct/>
        <w:spacing w:line="360" w:lineRule="auto"/>
        <w:ind w:firstLine="480" w:firstLineChars="200"/>
        <w:rPr>
          <w:rFonts w:asciiTheme="minorEastAsia" w:hAnsiTheme="minorEastAsia" w:eastAsiaTheme="minorEastAsia" w:cstheme="minorEastAsia"/>
          <w:sz w:val="24"/>
          <w:szCs w:val="24"/>
        </w:rPr>
        <w:sectPr>
          <w:footerReference r:id="rId9" w:type="default"/>
          <w:pgSz w:w="11906" w:h="16838"/>
          <w:pgMar w:top="1701" w:right="1531" w:bottom="1531" w:left="1531" w:header="0" w:footer="986" w:gutter="0"/>
          <w:cols w:space="0" w:num="1"/>
        </w:sectPr>
      </w:pPr>
    </w:p>
    <w:p w14:paraId="45F40448">
      <w:pPr>
        <w:spacing w:line="360" w:lineRule="auto"/>
        <w:jc w:val="center"/>
        <w:rPr>
          <w:b/>
          <w:bCs/>
          <w:sz w:val="24"/>
          <w:szCs w:val="24"/>
        </w:rPr>
      </w:pPr>
      <w:bookmarkStart w:id="756" w:name="bookmark72"/>
      <w:bookmarkEnd w:id="756"/>
      <w:bookmarkStart w:id="757" w:name="bookmark71"/>
      <w:bookmarkEnd w:id="757"/>
      <w:r>
        <w:rPr>
          <w:rFonts w:hint="eastAsia"/>
          <w:b/>
          <w:bCs/>
          <w:sz w:val="24"/>
          <w:szCs w:val="24"/>
        </w:rPr>
        <w:t>附表一：拟投入本项目的主要施工设备表</w:t>
      </w:r>
    </w:p>
    <w:p w14:paraId="38AFF4FC">
      <w:pPr>
        <w:spacing w:before="137"/>
      </w:pPr>
    </w:p>
    <w:tbl>
      <w:tblPr>
        <w:tblStyle w:val="64"/>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085"/>
        <w:gridCol w:w="761"/>
        <w:gridCol w:w="989"/>
        <w:gridCol w:w="672"/>
        <w:gridCol w:w="738"/>
        <w:gridCol w:w="1211"/>
        <w:gridCol w:w="874"/>
        <w:gridCol w:w="1054"/>
        <w:gridCol w:w="695"/>
      </w:tblGrid>
      <w:tr w14:paraId="2956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69" w:type="dxa"/>
            <w:vAlign w:val="center"/>
          </w:tcPr>
          <w:p w14:paraId="27E6369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085" w:type="dxa"/>
            <w:vAlign w:val="center"/>
          </w:tcPr>
          <w:p w14:paraId="1FEB193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设备名称</w:t>
            </w:r>
          </w:p>
        </w:tc>
        <w:tc>
          <w:tcPr>
            <w:tcW w:w="761" w:type="dxa"/>
            <w:vAlign w:val="center"/>
          </w:tcPr>
          <w:p w14:paraId="0E12D3C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型号</w:t>
            </w:r>
          </w:p>
          <w:p w14:paraId="5B5B82B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规格</w:t>
            </w:r>
          </w:p>
        </w:tc>
        <w:tc>
          <w:tcPr>
            <w:tcW w:w="989" w:type="dxa"/>
            <w:vAlign w:val="center"/>
          </w:tcPr>
          <w:p w14:paraId="3A75502F">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672" w:type="dxa"/>
            <w:vAlign w:val="center"/>
          </w:tcPr>
          <w:p w14:paraId="7B97E88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国别 产地</w:t>
            </w:r>
          </w:p>
        </w:tc>
        <w:tc>
          <w:tcPr>
            <w:tcW w:w="738" w:type="dxa"/>
            <w:vAlign w:val="center"/>
          </w:tcPr>
          <w:p w14:paraId="3E0088D4">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制造 年份</w:t>
            </w:r>
          </w:p>
        </w:tc>
        <w:tc>
          <w:tcPr>
            <w:tcW w:w="1211" w:type="dxa"/>
            <w:vAlign w:val="center"/>
          </w:tcPr>
          <w:p w14:paraId="6BC5C83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额定功率（kW）</w:t>
            </w:r>
          </w:p>
        </w:tc>
        <w:tc>
          <w:tcPr>
            <w:tcW w:w="874" w:type="dxa"/>
            <w:vAlign w:val="center"/>
          </w:tcPr>
          <w:p w14:paraId="7A70EB4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生产</w:t>
            </w:r>
          </w:p>
          <w:p w14:paraId="3C8DE899">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能力</w:t>
            </w:r>
          </w:p>
        </w:tc>
        <w:tc>
          <w:tcPr>
            <w:tcW w:w="1054" w:type="dxa"/>
            <w:vAlign w:val="center"/>
          </w:tcPr>
          <w:p w14:paraId="29ADB39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用于施工</w:t>
            </w:r>
          </w:p>
          <w:p w14:paraId="672A430D">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部位</w:t>
            </w:r>
          </w:p>
        </w:tc>
        <w:tc>
          <w:tcPr>
            <w:tcW w:w="695" w:type="dxa"/>
            <w:vAlign w:val="center"/>
          </w:tcPr>
          <w:p w14:paraId="21084C00">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48132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43104976">
            <w:pPr>
              <w:rPr>
                <w:rFonts w:ascii="Arial"/>
              </w:rPr>
            </w:pPr>
          </w:p>
        </w:tc>
        <w:tc>
          <w:tcPr>
            <w:tcW w:w="1085" w:type="dxa"/>
          </w:tcPr>
          <w:p w14:paraId="62EAC690">
            <w:pPr>
              <w:rPr>
                <w:rFonts w:ascii="Arial"/>
              </w:rPr>
            </w:pPr>
          </w:p>
        </w:tc>
        <w:tc>
          <w:tcPr>
            <w:tcW w:w="761" w:type="dxa"/>
          </w:tcPr>
          <w:p w14:paraId="1D52E83A">
            <w:pPr>
              <w:rPr>
                <w:rFonts w:ascii="Arial"/>
              </w:rPr>
            </w:pPr>
          </w:p>
        </w:tc>
        <w:tc>
          <w:tcPr>
            <w:tcW w:w="989" w:type="dxa"/>
          </w:tcPr>
          <w:p w14:paraId="12137E87">
            <w:pPr>
              <w:rPr>
                <w:rFonts w:ascii="Arial"/>
              </w:rPr>
            </w:pPr>
          </w:p>
        </w:tc>
        <w:tc>
          <w:tcPr>
            <w:tcW w:w="672" w:type="dxa"/>
          </w:tcPr>
          <w:p w14:paraId="1D7947E7">
            <w:pPr>
              <w:rPr>
                <w:rFonts w:ascii="Arial"/>
              </w:rPr>
            </w:pPr>
          </w:p>
        </w:tc>
        <w:tc>
          <w:tcPr>
            <w:tcW w:w="738" w:type="dxa"/>
          </w:tcPr>
          <w:p w14:paraId="67FEF7DC">
            <w:pPr>
              <w:rPr>
                <w:rFonts w:ascii="Arial"/>
              </w:rPr>
            </w:pPr>
          </w:p>
        </w:tc>
        <w:tc>
          <w:tcPr>
            <w:tcW w:w="1211" w:type="dxa"/>
          </w:tcPr>
          <w:p w14:paraId="67020FE0">
            <w:pPr>
              <w:rPr>
                <w:rFonts w:ascii="Arial"/>
              </w:rPr>
            </w:pPr>
          </w:p>
        </w:tc>
        <w:tc>
          <w:tcPr>
            <w:tcW w:w="874" w:type="dxa"/>
          </w:tcPr>
          <w:p w14:paraId="397E8B77">
            <w:pPr>
              <w:rPr>
                <w:rFonts w:ascii="Arial"/>
              </w:rPr>
            </w:pPr>
          </w:p>
        </w:tc>
        <w:tc>
          <w:tcPr>
            <w:tcW w:w="1054" w:type="dxa"/>
          </w:tcPr>
          <w:p w14:paraId="7D0DF88F">
            <w:pPr>
              <w:rPr>
                <w:rFonts w:ascii="Arial"/>
              </w:rPr>
            </w:pPr>
          </w:p>
        </w:tc>
        <w:tc>
          <w:tcPr>
            <w:tcW w:w="695" w:type="dxa"/>
          </w:tcPr>
          <w:p w14:paraId="64DB6569">
            <w:pPr>
              <w:rPr>
                <w:rFonts w:ascii="Arial"/>
              </w:rPr>
            </w:pPr>
          </w:p>
        </w:tc>
      </w:tr>
      <w:tr w14:paraId="5E45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4B264DD3">
            <w:pPr>
              <w:rPr>
                <w:rFonts w:ascii="Arial"/>
              </w:rPr>
            </w:pPr>
          </w:p>
        </w:tc>
        <w:tc>
          <w:tcPr>
            <w:tcW w:w="1085" w:type="dxa"/>
          </w:tcPr>
          <w:p w14:paraId="30BCC56E">
            <w:pPr>
              <w:rPr>
                <w:rFonts w:ascii="Arial"/>
              </w:rPr>
            </w:pPr>
          </w:p>
        </w:tc>
        <w:tc>
          <w:tcPr>
            <w:tcW w:w="761" w:type="dxa"/>
          </w:tcPr>
          <w:p w14:paraId="6DFA9011">
            <w:pPr>
              <w:rPr>
                <w:rFonts w:ascii="Arial"/>
              </w:rPr>
            </w:pPr>
          </w:p>
        </w:tc>
        <w:tc>
          <w:tcPr>
            <w:tcW w:w="989" w:type="dxa"/>
          </w:tcPr>
          <w:p w14:paraId="7B287A24">
            <w:pPr>
              <w:rPr>
                <w:rFonts w:ascii="Arial"/>
              </w:rPr>
            </w:pPr>
          </w:p>
        </w:tc>
        <w:tc>
          <w:tcPr>
            <w:tcW w:w="672" w:type="dxa"/>
          </w:tcPr>
          <w:p w14:paraId="55B36140">
            <w:pPr>
              <w:rPr>
                <w:rFonts w:ascii="Arial"/>
              </w:rPr>
            </w:pPr>
          </w:p>
        </w:tc>
        <w:tc>
          <w:tcPr>
            <w:tcW w:w="738" w:type="dxa"/>
          </w:tcPr>
          <w:p w14:paraId="202C6DD6">
            <w:pPr>
              <w:rPr>
                <w:rFonts w:ascii="Arial"/>
              </w:rPr>
            </w:pPr>
          </w:p>
        </w:tc>
        <w:tc>
          <w:tcPr>
            <w:tcW w:w="1211" w:type="dxa"/>
          </w:tcPr>
          <w:p w14:paraId="0D2BA2E8">
            <w:pPr>
              <w:rPr>
                <w:rFonts w:ascii="Arial"/>
              </w:rPr>
            </w:pPr>
          </w:p>
        </w:tc>
        <w:tc>
          <w:tcPr>
            <w:tcW w:w="874" w:type="dxa"/>
          </w:tcPr>
          <w:p w14:paraId="2E8B132F">
            <w:pPr>
              <w:rPr>
                <w:rFonts w:ascii="Arial"/>
              </w:rPr>
            </w:pPr>
          </w:p>
        </w:tc>
        <w:tc>
          <w:tcPr>
            <w:tcW w:w="1054" w:type="dxa"/>
          </w:tcPr>
          <w:p w14:paraId="6D2917BB">
            <w:pPr>
              <w:rPr>
                <w:rFonts w:ascii="Arial"/>
              </w:rPr>
            </w:pPr>
          </w:p>
        </w:tc>
        <w:tc>
          <w:tcPr>
            <w:tcW w:w="695" w:type="dxa"/>
          </w:tcPr>
          <w:p w14:paraId="688CF973">
            <w:pPr>
              <w:rPr>
                <w:rFonts w:ascii="Arial"/>
              </w:rPr>
            </w:pPr>
          </w:p>
        </w:tc>
      </w:tr>
      <w:tr w14:paraId="261F6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67B56D05">
            <w:pPr>
              <w:rPr>
                <w:rFonts w:ascii="Arial"/>
              </w:rPr>
            </w:pPr>
          </w:p>
        </w:tc>
        <w:tc>
          <w:tcPr>
            <w:tcW w:w="1085" w:type="dxa"/>
          </w:tcPr>
          <w:p w14:paraId="4AAD2069">
            <w:pPr>
              <w:rPr>
                <w:rFonts w:ascii="Arial"/>
              </w:rPr>
            </w:pPr>
          </w:p>
        </w:tc>
        <w:tc>
          <w:tcPr>
            <w:tcW w:w="761" w:type="dxa"/>
          </w:tcPr>
          <w:p w14:paraId="0DAB832D">
            <w:pPr>
              <w:rPr>
                <w:rFonts w:ascii="Arial"/>
              </w:rPr>
            </w:pPr>
          </w:p>
        </w:tc>
        <w:tc>
          <w:tcPr>
            <w:tcW w:w="989" w:type="dxa"/>
          </w:tcPr>
          <w:p w14:paraId="521FA3AC">
            <w:pPr>
              <w:rPr>
                <w:rFonts w:ascii="Arial"/>
              </w:rPr>
            </w:pPr>
          </w:p>
        </w:tc>
        <w:tc>
          <w:tcPr>
            <w:tcW w:w="672" w:type="dxa"/>
          </w:tcPr>
          <w:p w14:paraId="15DC1D69">
            <w:pPr>
              <w:rPr>
                <w:rFonts w:ascii="Arial"/>
              </w:rPr>
            </w:pPr>
          </w:p>
        </w:tc>
        <w:tc>
          <w:tcPr>
            <w:tcW w:w="738" w:type="dxa"/>
          </w:tcPr>
          <w:p w14:paraId="1DF78F26">
            <w:pPr>
              <w:rPr>
                <w:rFonts w:ascii="Arial"/>
              </w:rPr>
            </w:pPr>
          </w:p>
        </w:tc>
        <w:tc>
          <w:tcPr>
            <w:tcW w:w="1211" w:type="dxa"/>
          </w:tcPr>
          <w:p w14:paraId="1ABFA631">
            <w:pPr>
              <w:rPr>
                <w:rFonts w:ascii="Arial"/>
              </w:rPr>
            </w:pPr>
          </w:p>
        </w:tc>
        <w:tc>
          <w:tcPr>
            <w:tcW w:w="874" w:type="dxa"/>
          </w:tcPr>
          <w:p w14:paraId="09352305">
            <w:pPr>
              <w:rPr>
                <w:rFonts w:ascii="Arial"/>
              </w:rPr>
            </w:pPr>
          </w:p>
        </w:tc>
        <w:tc>
          <w:tcPr>
            <w:tcW w:w="1054" w:type="dxa"/>
          </w:tcPr>
          <w:p w14:paraId="47DFE97E">
            <w:pPr>
              <w:rPr>
                <w:rFonts w:ascii="Arial"/>
              </w:rPr>
            </w:pPr>
          </w:p>
        </w:tc>
        <w:tc>
          <w:tcPr>
            <w:tcW w:w="695" w:type="dxa"/>
          </w:tcPr>
          <w:p w14:paraId="167EA662">
            <w:pPr>
              <w:rPr>
                <w:rFonts w:ascii="Arial"/>
              </w:rPr>
            </w:pPr>
          </w:p>
        </w:tc>
      </w:tr>
      <w:tr w14:paraId="3C5C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6832D127">
            <w:pPr>
              <w:rPr>
                <w:rFonts w:ascii="Arial"/>
              </w:rPr>
            </w:pPr>
          </w:p>
        </w:tc>
        <w:tc>
          <w:tcPr>
            <w:tcW w:w="1085" w:type="dxa"/>
          </w:tcPr>
          <w:p w14:paraId="34404219">
            <w:pPr>
              <w:rPr>
                <w:rFonts w:ascii="Arial"/>
              </w:rPr>
            </w:pPr>
          </w:p>
        </w:tc>
        <w:tc>
          <w:tcPr>
            <w:tcW w:w="761" w:type="dxa"/>
          </w:tcPr>
          <w:p w14:paraId="70202406">
            <w:pPr>
              <w:rPr>
                <w:rFonts w:ascii="Arial"/>
              </w:rPr>
            </w:pPr>
          </w:p>
        </w:tc>
        <w:tc>
          <w:tcPr>
            <w:tcW w:w="989" w:type="dxa"/>
          </w:tcPr>
          <w:p w14:paraId="3A7B1E0E">
            <w:pPr>
              <w:rPr>
                <w:rFonts w:ascii="Arial"/>
              </w:rPr>
            </w:pPr>
          </w:p>
        </w:tc>
        <w:tc>
          <w:tcPr>
            <w:tcW w:w="672" w:type="dxa"/>
          </w:tcPr>
          <w:p w14:paraId="6C40431F">
            <w:pPr>
              <w:rPr>
                <w:rFonts w:ascii="Arial"/>
              </w:rPr>
            </w:pPr>
          </w:p>
        </w:tc>
        <w:tc>
          <w:tcPr>
            <w:tcW w:w="738" w:type="dxa"/>
          </w:tcPr>
          <w:p w14:paraId="3E1E33BC">
            <w:pPr>
              <w:rPr>
                <w:rFonts w:ascii="Arial"/>
              </w:rPr>
            </w:pPr>
          </w:p>
        </w:tc>
        <w:tc>
          <w:tcPr>
            <w:tcW w:w="1211" w:type="dxa"/>
          </w:tcPr>
          <w:p w14:paraId="2FC689BF">
            <w:pPr>
              <w:rPr>
                <w:rFonts w:ascii="Arial"/>
              </w:rPr>
            </w:pPr>
          </w:p>
        </w:tc>
        <w:tc>
          <w:tcPr>
            <w:tcW w:w="874" w:type="dxa"/>
          </w:tcPr>
          <w:p w14:paraId="3777FDA1">
            <w:pPr>
              <w:rPr>
                <w:rFonts w:ascii="Arial"/>
              </w:rPr>
            </w:pPr>
          </w:p>
        </w:tc>
        <w:tc>
          <w:tcPr>
            <w:tcW w:w="1054" w:type="dxa"/>
          </w:tcPr>
          <w:p w14:paraId="629474BE">
            <w:pPr>
              <w:rPr>
                <w:rFonts w:ascii="Arial"/>
              </w:rPr>
            </w:pPr>
          </w:p>
        </w:tc>
        <w:tc>
          <w:tcPr>
            <w:tcW w:w="695" w:type="dxa"/>
          </w:tcPr>
          <w:p w14:paraId="55A9FC26">
            <w:pPr>
              <w:rPr>
                <w:rFonts w:ascii="Arial"/>
              </w:rPr>
            </w:pPr>
          </w:p>
        </w:tc>
      </w:tr>
      <w:tr w14:paraId="3CE0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6D259901">
            <w:pPr>
              <w:rPr>
                <w:rFonts w:ascii="Arial"/>
              </w:rPr>
            </w:pPr>
          </w:p>
        </w:tc>
        <w:tc>
          <w:tcPr>
            <w:tcW w:w="1085" w:type="dxa"/>
          </w:tcPr>
          <w:p w14:paraId="3F6C26AD">
            <w:pPr>
              <w:rPr>
                <w:rFonts w:ascii="Arial"/>
              </w:rPr>
            </w:pPr>
          </w:p>
        </w:tc>
        <w:tc>
          <w:tcPr>
            <w:tcW w:w="761" w:type="dxa"/>
          </w:tcPr>
          <w:p w14:paraId="0D1D286A">
            <w:pPr>
              <w:rPr>
                <w:rFonts w:ascii="Arial"/>
              </w:rPr>
            </w:pPr>
          </w:p>
        </w:tc>
        <w:tc>
          <w:tcPr>
            <w:tcW w:w="989" w:type="dxa"/>
          </w:tcPr>
          <w:p w14:paraId="2A5D8E0F">
            <w:pPr>
              <w:rPr>
                <w:rFonts w:ascii="Arial"/>
              </w:rPr>
            </w:pPr>
          </w:p>
        </w:tc>
        <w:tc>
          <w:tcPr>
            <w:tcW w:w="672" w:type="dxa"/>
          </w:tcPr>
          <w:p w14:paraId="1F580B95">
            <w:pPr>
              <w:rPr>
                <w:rFonts w:ascii="Arial"/>
              </w:rPr>
            </w:pPr>
          </w:p>
        </w:tc>
        <w:tc>
          <w:tcPr>
            <w:tcW w:w="738" w:type="dxa"/>
          </w:tcPr>
          <w:p w14:paraId="0501EF6C">
            <w:pPr>
              <w:rPr>
                <w:rFonts w:ascii="Arial"/>
              </w:rPr>
            </w:pPr>
          </w:p>
        </w:tc>
        <w:tc>
          <w:tcPr>
            <w:tcW w:w="1211" w:type="dxa"/>
          </w:tcPr>
          <w:p w14:paraId="18AA10A4">
            <w:pPr>
              <w:rPr>
                <w:rFonts w:ascii="Arial"/>
              </w:rPr>
            </w:pPr>
          </w:p>
        </w:tc>
        <w:tc>
          <w:tcPr>
            <w:tcW w:w="874" w:type="dxa"/>
          </w:tcPr>
          <w:p w14:paraId="7ECC469B">
            <w:pPr>
              <w:rPr>
                <w:rFonts w:ascii="Arial"/>
              </w:rPr>
            </w:pPr>
          </w:p>
        </w:tc>
        <w:tc>
          <w:tcPr>
            <w:tcW w:w="1054" w:type="dxa"/>
          </w:tcPr>
          <w:p w14:paraId="06AFC672">
            <w:pPr>
              <w:rPr>
                <w:rFonts w:ascii="Arial"/>
              </w:rPr>
            </w:pPr>
          </w:p>
        </w:tc>
        <w:tc>
          <w:tcPr>
            <w:tcW w:w="695" w:type="dxa"/>
          </w:tcPr>
          <w:p w14:paraId="113F073F">
            <w:pPr>
              <w:rPr>
                <w:rFonts w:ascii="Arial"/>
              </w:rPr>
            </w:pPr>
          </w:p>
        </w:tc>
      </w:tr>
      <w:tr w14:paraId="23D0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D978372">
            <w:pPr>
              <w:rPr>
                <w:rFonts w:ascii="Arial"/>
              </w:rPr>
            </w:pPr>
          </w:p>
        </w:tc>
        <w:tc>
          <w:tcPr>
            <w:tcW w:w="1085" w:type="dxa"/>
          </w:tcPr>
          <w:p w14:paraId="47AD0ED3">
            <w:pPr>
              <w:rPr>
                <w:rFonts w:ascii="Arial"/>
              </w:rPr>
            </w:pPr>
          </w:p>
        </w:tc>
        <w:tc>
          <w:tcPr>
            <w:tcW w:w="761" w:type="dxa"/>
          </w:tcPr>
          <w:p w14:paraId="61B8DF92">
            <w:pPr>
              <w:rPr>
                <w:rFonts w:ascii="Arial"/>
              </w:rPr>
            </w:pPr>
          </w:p>
        </w:tc>
        <w:tc>
          <w:tcPr>
            <w:tcW w:w="989" w:type="dxa"/>
          </w:tcPr>
          <w:p w14:paraId="5BDE259F">
            <w:pPr>
              <w:rPr>
                <w:rFonts w:ascii="Arial"/>
              </w:rPr>
            </w:pPr>
          </w:p>
        </w:tc>
        <w:tc>
          <w:tcPr>
            <w:tcW w:w="672" w:type="dxa"/>
          </w:tcPr>
          <w:p w14:paraId="5BE20386">
            <w:pPr>
              <w:rPr>
                <w:rFonts w:ascii="Arial"/>
              </w:rPr>
            </w:pPr>
          </w:p>
        </w:tc>
        <w:tc>
          <w:tcPr>
            <w:tcW w:w="738" w:type="dxa"/>
          </w:tcPr>
          <w:p w14:paraId="2F38FAC9">
            <w:pPr>
              <w:rPr>
                <w:rFonts w:ascii="Arial"/>
              </w:rPr>
            </w:pPr>
          </w:p>
        </w:tc>
        <w:tc>
          <w:tcPr>
            <w:tcW w:w="1211" w:type="dxa"/>
          </w:tcPr>
          <w:p w14:paraId="0EFE3372">
            <w:pPr>
              <w:rPr>
                <w:rFonts w:ascii="Arial"/>
              </w:rPr>
            </w:pPr>
          </w:p>
        </w:tc>
        <w:tc>
          <w:tcPr>
            <w:tcW w:w="874" w:type="dxa"/>
          </w:tcPr>
          <w:p w14:paraId="69000BDB">
            <w:pPr>
              <w:rPr>
                <w:rFonts w:ascii="Arial"/>
              </w:rPr>
            </w:pPr>
          </w:p>
        </w:tc>
        <w:tc>
          <w:tcPr>
            <w:tcW w:w="1054" w:type="dxa"/>
          </w:tcPr>
          <w:p w14:paraId="47EC1414">
            <w:pPr>
              <w:rPr>
                <w:rFonts w:ascii="Arial"/>
              </w:rPr>
            </w:pPr>
          </w:p>
        </w:tc>
        <w:tc>
          <w:tcPr>
            <w:tcW w:w="695" w:type="dxa"/>
          </w:tcPr>
          <w:p w14:paraId="43768767">
            <w:pPr>
              <w:rPr>
                <w:rFonts w:ascii="Arial"/>
              </w:rPr>
            </w:pPr>
          </w:p>
        </w:tc>
      </w:tr>
      <w:tr w14:paraId="1838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E555ECB">
            <w:pPr>
              <w:rPr>
                <w:rFonts w:ascii="Arial"/>
              </w:rPr>
            </w:pPr>
          </w:p>
        </w:tc>
        <w:tc>
          <w:tcPr>
            <w:tcW w:w="1085" w:type="dxa"/>
          </w:tcPr>
          <w:p w14:paraId="4EE04A60">
            <w:pPr>
              <w:rPr>
                <w:rFonts w:ascii="Arial"/>
              </w:rPr>
            </w:pPr>
          </w:p>
        </w:tc>
        <w:tc>
          <w:tcPr>
            <w:tcW w:w="761" w:type="dxa"/>
          </w:tcPr>
          <w:p w14:paraId="6BE72ECA">
            <w:pPr>
              <w:rPr>
                <w:rFonts w:ascii="Arial"/>
              </w:rPr>
            </w:pPr>
          </w:p>
        </w:tc>
        <w:tc>
          <w:tcPr>
            <w:tcW w:w="989" w:type="dxa"/>
          </w:tcPr>
          <w:p w14:paraId="3D3BA4DE">
            <w:pPr>
              <w:rPr>
                <w:rFonts w:ascii="Arial"/>
              </w:rPr>
            </w:pPr>
          </w:p>
        </w:tc>
        <w:tc>
          <w:tcPr>
            <w:tcW w:w="672" w:type="dxa"/>
          </w:tcPr>
          <w:p w14:paraId="468B4319">
            <w:pPr>
              <w:rPr>
                <w:rFonts w:ascii="Arial"/>
              </w:rPr>
            </w:pPr>
          </w:p>
        </w:tc>
        <w:tc>
          <w:tcPr>
            <w:tcW w:w="738" w:type="dxa"/>
          </w:tcPr>
          <w:p w14:paraId="32D9F5F8">
            <w:pPr>
              <w:rPr>
                <w:rFonts w:ascii="Arial"/>
              </w:rPr>
            </w:pPr>
          </w:p>
        </w:tc>
        <w:tc>
          <w:tcPr>
            <w:tcW w:w="1211" w:type="dxa"/>
          </w:tcPr>
          <w:p w14:paraId="1C9BF0DF">
            <w:pPr>
              <w:rPr>
                <w:rFonts w:ascii="Arial"/>
              </w:rPr>
            </w:pPr>
          </w:p>
        </w:tc>
        <w:tc>
          <w:tcPr>
            <w:tcW w:w="874" w:type="dxa"/>
          </w:tcPr>
          <w:p w14:paraId="6FA7DB17">
            <w:pPr>
              <w:rPr>
                <w:rFonts w:ascii="Arial"/>
              </w:rPr>
            </w:pPr>
          </w:p>
        </w:tc>
        <w:tc>
          <w:tcPr>
            <w:tcW w:w="1054" w:type="dxa"/>
          </w:tcPr>
          <w:p w14:paraId="3BDBA9C3">
            <w:pPr>
              <w:rPr>
                <w:rFonts w:ascii="Arial"/>
              </w:rPr>
            </w:pPr>
          </w:p>
        </w:tc>
        <w:tc>
          <w:tcPr>
            <w:tcW w:w="695" w:type="dxa"/>
          </w:tcPr>
          <w:p w14:paraId="73864B54">
            <w:pPr>
              <w:rPr>
                <w:rFonts w:ascii="Arial"/>
              </w:rPr>
            </w:pPr>
          </w:p>
        </w:tc>
      </w:tr>
      <w:tr w14:paraId="1AF94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243B4C91">
            <w:pPr>
              <w:rPr>
                <w:rFonts w:ascii="Arial"/>
              </w:rPr>
            </w:pPr>
          </w:p>
        </w:tc>
        <w:tc>
          <w:tcPr>
            <w:tcW w:w="1085" w:type="dxa"/>
          </w:tcPr>
          <w:p w14:paraId="625C7EF4">
            <w:pPr>
              <w:rPr>
                <w:rFonts w:ascii="Arial"/>
              </w:rPr>
            </w:pPr>
          </w:p>
        </w:tc>
        <w:tc>
          <w:tcPr>
            <w:tcW w:w="761" w:type="dxa"/>
          </w:tcPr>
          <w:p w14:paraId="6D1B9244">
            <w:pPr>
              <w:rPr>
                <w:rFonts w:ascii="Arial"/>
              </w:rPr>
            </w:pPr>
          </w:p>
        </w:tc>
        <w:tc>
          <w:tcPr>
            <w:tcW w:w="989" w:type="dxa"/>
          </w:tcPr>
          <w:p w14:paraId="7A337B15">
            <w:pPr>
              <w:rPr>
                <w:rFonts w:ascii="Arial"/>
              </w:rPr>
            </w:pPr>
          </w:p>
        </w:tc>
        <w:tc>
          <w:tcPr>
            <w:tcW w:w="672" w:type="dxa"/>
          </w:tcPr>
          <w:p w14:paraId="0F389899">
            <w:pPr>
              <w:rPr>
                <w:rFonts w:ascii="Arial"/>
              </w:rPr>
            </w:pPr>
          </w:p>
        </w:tc>
        <w:tc>
          <w:tcPr>
            <w:tcW w:w="738" w:type="dxa"/>
          </w:tcPr>
          <w:p w14:paraId="7ECEA295">
            <w:pPr>
              <w:rPr>
                <w:rFonts w:ascii="Arial"/>
              </w:rPr>
            </w:pPr>
          </w:p>
        </w:tc>
        <w:tc>
          <w:tcPr>
            <w:tcW w:w="1211" w:type="dxa"/>
          </w:tcPr>
          <w:p w14:paraId="530BCEE2">
            <w:pPr>
              <w:rPr>
                <w:rFonts w:ascii="Arial"/>
              </w:rPr>
            </w:pPr>
          </w:p>
        </w:tc>
        <w:tc>
          <w:tcPr>
            <w:tcW w:w="874" w:type="dxa"/>
          </w:tcPr>
          <w:p w14:paraId="55E08EFA">
            <w:pPr>
              <w:rPr>
                <w:rFonts w:ascii="Arial"/>
              </w:rPr>
            </w:pPr>
          </w:p>
        </w:tc>
        <w:tc>
          <w:tcPr>
            <w:tcW w:w="1054" w:type="dxa"/>
          </w:tcPr>
          <w:p w14:paraId="02A46F7B">
            <w:pPr>
              <w:rPr>
                <w:rFonts w:ascii="Arial"/>
              </w:rPr>
            </w:pPr>
          </w:p>
        </w:tc>
        <w:tc>
          <w:tcPr>
            <w:tcW w:w="695" w:type="dxa"/>
          </w:tcPr>
          <w:p w14:paraId="6FDC87C8">
            <w:pPr>
              <w:rPr>
                <w:rFonts w:ascii="Arial"/>
              </w:rPr>
            </w:pPr>
          </w:p>
        </w:tc>
      </w:tr>
      <w:tr w14:paraId="47E0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3D36951D">
            <w:pPr>
              <w:rPr>
                <w:rFonts w:ascii="Arial"/>
              </w:rPr>
            </w:pPr>
          </w:p>
        </w:tc>
        <w:tc>
          <w:tcPr>
            <w:tcW w:w="1085" w:type="dxa"/>
          </w:tcPr>
          <w:p w14:paraId="566F0D0B">
            <w:pPr>
              <w:rPr>
                <w:rFonts w:ascii="Arial"/>
              </w:rPr>
            </w:pPr>
          </w:p>
        </w:tc>
        <w:tc>
          <w:tcPr>
            <w:tcW w:w="761" w:type="dxa"/>
          </w:tcPr>
          <w:p w14:paraId="46248E67">
            <w:pPr>
              <w:rPr>
                <w:rFonts w:ascii="Arial"/>
              </w:rPr>
            </w:pPr>
          </w:p>
        </w:tc>
        <w:tc>
          <w:tcPr>
            <w:tcW w:w="989" w:type="dxa"/>
          </w:tcPr>
          <w:p w14:paraId="33383EDE">
            <w:pPr>
              <w:rPr>
                <w:rFonts w:ascii="Arial"/>
              </w:rPr>
            </w:pPr>
          </w:p>
        </w:tc>
        <w:tc>
          <w:tcPr>
            <w:tcW w:w="672" w:type="dxa"/>
          </w:tcPr>
          <w:p w14:paraId="7D80D455">
            <w:pPr>
              <w:rPr>
                <w:rFonts w:ascii="Arial"/>
              </w:rPr>
            </w:pPr>
          </w:p>
        </w:tc>
        <w:tc>
          <w:tcPr>
            <w:tcW w:w="738" w:type="dxa"/>
          </w:tcPr>
          <w:p w14:paraId="342A82B2">
            <w:pPr>
              <w:rPr>
                <w:rFonts w:ascii="Arial"/>
              </w:rPr>
            </w:pPr>
          </w:p>
        </w:tc>
        <w:tc>
          <w:tcPr>
            <w:tcW w:w="1211" w:type="dxa"/>
          </w:tcPr>
          <w:p w14:paraId="41F5D946">
            <w:pPr>
              <w:rPr>
                <w:rFonts w:ascii="Arial"/>
              </w:rPr>
            </w:pPr>
          </w:p>
        </w:tc>
        <w:tc>
          <w:tcPr>
            <w:tcW w:w="874" w:type="dxa"/>
          </w:tcPr>
          <w:p w14:paraId="5FA50BC7">
            <w:pPr>
              <w:rPr>
                <w:rFonts w:ascii="Arial"/>
              </w:rPr>
            </w:pPr>
          </w:p>
        </w:tc>
        <w:tc>
          <w:tcPr>
            <w:tcW w:w="1054" w:type="dxa"/>
          </w:tcPr>
          <w:p w14:paraId="7C5AF0F4">
            <w:pPr>
              <w:rPr>
                <w:rFonts w:ascii="Arial"/>
              </w:rPr>
            </w:pPr>
          </w:p>
        </w:tc>
        <w:tc>
          <w:tcPr>
            <w:tcW w:w="695" w:type="dxa"/>
          </w:tcPr>
          <w:p w14:paraId="6CC7EE47">
            <w:pPr>
              <w:rPr>
                <w:rFonts w:ascii="Arial"/>
              </w:rPr>
            </w:pPr>
          </w:p>
        </w:tc>
      </w:tr>
      <w:tr w14:paraId="05DB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C473358">
            <w:pPr>
              <w:rPr>
                <w:rFonts w:ascii="Arial"/>
              </w:rPr>
            </w:pPr>
          </w:p>
        </w:tc>
        <w:tc>
          <w:tcPr>
            <w:tcW w:w="1085" w:type="dxa"/>
          </w:tcPr>
          <w:p w14:paraId="42D5323E">
            <w:pPr>
              <w:rPr>
                <w:rFonts w:ascii="Arial"/>
              </w:rPr>
            </w:pPr>
          </w:p>
        </w:tc>
        <w:tc>
          <w:tcPr>
            <w:tcW w:w="761" w:type="dxa"/>
          </w:tcPr>
          <w:p w14:paraId="2316CA07">
            <w:pPr>
              <w:rPr>
                <w:rFonts w:ascii="Arial"/>
              </w:rPr>
            </w:pPr>
          </w:p>
        </w:tc>
        <w:tc>
          <w:tcPr>
            <w:tcW w:w="989" w:type="dxa"/>
          </w:tcPr>
          <w:p w14:paraId="5B0D85C5">
            <w:pPr>
              <w:rPr>
                <w:rFonts w:ascii="Arial"/>
              </w:rPr>
            </w:pPr>
          </w:p>
        </w:tc>
        <w:tc>
          <w:tcPr>
            <w:tcW w:w="672" w:type="dxa"/>
          </w:tcPr>
          <w:p w14:paraId="1142989B">
            <w:pPr>
              <w:rPr>
                <w:rFonts w:ascii="Arial"/>
              </w:rPr>
            </w:pPr>
          </w:p>
        </w:tc>
        <w:tc>
          <w:tcPr>
            <w:tcW w:w="738" w:type="dxa"/>
          </w:tcPr>
          <w:p w14:paraId="7A845F69">
            <w:pPr>
              <w:rPr>
                <w:rFonts w:ascii="Arial"/>
              </w:rPr>
            </w:pPr>
          </w:p>
        </w:tc>
        <w:tc>
          <w:tcPr>
            <w:tcW w:w="1211" w:type="dxa"/>
          </w:tcPr>
          <w:p w14:paraId="3AA2B67D">
            <w:pPr>
              <w:rPr>
                <w:rFonts w:ascii="Arial"/>
              </w:rPr>
            </w:pPr>
          </w:p>
        </w:tc>
        <w:tc>
          <w:tcPr>
            <w:tcW w:w="874" w:type="dxa"/>
          </w:tcPr>
          <w:p w14:paraId="6D9BFCB7">
            <w:pPr>
              <w:rPr>
                <w:rFonts w:ascii="Arial"/>
              </w:rPr>
            </w:pPr>
          </w:p>
        </w:tc>
        <w:tc>
          <w:tcPr>
            <w:tcW w:w="1054" w:type="dxa"/>
          </w:tcPr>
          <w:p w14:paraId="4FD00B79">
            <w:pPr>
              <w:rPr>
                <w:rFonts w:ascii="Arial"/>
              </w:rPr>
            </w:pPr>
          </w:p>
        </w:tc>
        <w:tc>
          <w:tcPr>
            <w:tcW w:w="695" w:type="dxa"/>
          </w:tcPr>
          <w:p w14:paraId="2F9F27B6">
            <w:pPr>
              <w:rPr>
                <w:rFonts w:ascii="Arial"/>
              </w:rPr>
            </w:pPr>
          </w:p>
        </w:tc>
      </w:tr>
      <w:tr w14:paraId="4D5B8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70F740CD">
            <w:pPr>
              <w:rPr>
                <w:rFonts w:ascii="Arial"/>
              </w:rPr>
            </w:pPr>
          </w:p>
        </w:tc>
        <w:tc>
          <w:tcPr>
            <w:tcW w:w="1085" w:type="dxa"/>
          </w:tcPr>
          <w:p w14:paraId="3C36D3CB">
            <w:pPr>
              <w:rPr>
                <w:rFonts w:ascii="Arial"/>
              </w:rPr>
            </w:pPr>
          </w:p>
        </w:tc>
        <w:tc>
          <w:tcPr>
            <w:tcW w:w="761" w:type="dxa"/>
          </w:tcPr>
          <w:p w14:paraId="24CAC4AA">
            <w:pPr>
              <w:rPr>
                <w:rFonts w:ascii="Arial"/>
              </w:rPr>
            </w:pPr>
          </w:p>
        </w:tc>
        <w:tc>
          <w:tcPr>
            <w:tcW w:w="989" w:type="dxa"/>
          </w:tcPr>
          <w:p w14:paraId="35777394">
            <w:pPr>
              <w:rPr>
                <w:rFonts w:ascii="Arial"/>
              </w:rPr>
            </w:pPr>
          </w:p>
        </w:tc>
        <w:tc>
          <w:tcPr>
            <w:tcW w:w="672" w:type="dxa"/>
          </w:tcPr>
          <w:p w14:paraId="0995CEB9">
            <w:pPr>
              <w:rPr>
                <w:rFonts w:ascii="Arial"/>
              </w:rPr>
            </w:pPr>
          </w:p>
        </w:tc>
        <w:tc>
          <w:tcPr>
            <w:tcW w:w="738" w:type="dxa"/>
          </w:tcPr>
          <w:p w14:paraId="105456CE">
            <w:pPr>
              <w:rPr>
                <w:rFonts w:ascii="Arial"/>
              </w:rPr>
            </w:pPr>
          </w:p>
        </w:tc>
        <w:tc>
          <w:tcPr>
            <w:tcW w:w="1211" w:type="dxa"/>
          </w:tcPr>
          <w:p w14:paraId="5EEC62B9">
            <w:pPr>
              <w:rPr>
                <w:rFonts w:ascii="Arial"/>
              </w:rPr>
            </w:pPr>
          </w:p>
        </w:tc>
        <w:tc>
          <w:tcPr>
            <w:tcW w:w="874" w:type="dxa"/>
          </w:tcPr>
          <w:p w14:paraId="6FEBA095">
            <w:pPr>
              <w:rPr>
                <w:rFonts w:ascii="Arial"/>
              </w:rPr>
            </w:pPr>
          </w:p>
        </w:tc>
        <w:tc>
          <w:tcPr>
            <w:tcW w:w="1054" w:type="dxa"/>
          </w:tcPr>
          <w:p w14:paraId="52199934">
            <w:pPr>
              <w:rPr>
                <w:rFonts w:ascii="Arial"/>
              </w:rPr>
            </w:pPr>
          </w:p>
        </w:tc>
        <w:tc>
          <w:tcPr>
            <w:tcW w:w="695" w:type="dxa"/>
          </w:tcPr>
          <w:p w14:paraId="7D5AAD51">
            <w:pPr>
              <w:rPr>
                <w:rFonts w:ascii="Arial"/>
              </w:rPr>
            </w:pPr>
          </w:p>
        </w:tc>
      </w:tr>
      <w:tr w14:paraId="2FA5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65C0E1B8">
            <w:pPr>
              <w:rPr>
                <w:rFonts w:ascii="Arial"/>
              </w:rPr>
            </w:pPr>
          </w:p>
        </w:tc>
        <w:tc>
          <w:tcPr>
            <w:tcW w:w="1085" w:type="dxa"/>
          </w:tcPr>
          <w:p w14:paraId="6DB7A426">
            <w:pPr>
              <w:rPr>
                <w:rFonts w:ascii="Arial"/>
              </w:rPr>
            </w:pPr>
          </w:p>
        </w:tc>
        <w:tc>
          <w:tcPr>
            <w:tcW w:w="761" w:type="dxa"/>
          </w:tcPr>
          <w:p w14:paraId="79CA65AE">
            <w:pPr>
              <w:rPr>
                <w:rFonts w:ascii="Arial"/>
              </w:rPr>
            </w:pPr>
          </w:p>
        </w:tc>
        <w:tc>
          <w:tcPr>
            <w:tcW w:w="989" w:type="dxa"/>
          </w:tcPr>
          <w:p w14:paraId="53B959D1">
            <w:pPr>
              <w:rPr>
                <w:rFonts w:ascii="Arial"/>
              </w:rPr>
            </w:pPr>
          </w:p>
        </w:tc>
        <w:tc>
          <w:tcPr>
            <w:tcW w:w="672" w:type="dxa"/>
          </w:tcPr>
          <w:p w14:paraId="073ED8C4">
            <w:pPr>
              <w:rPr>
                <w:rFonts w:ascii="Arial"/>
              </w:rPr>
            </w:pPr>
          </w:p>
        </w:tc>
        <w:tc>
          <w:tcPr>
            <w:tcW w:w="738" w:type="dxa"/>
          </w:tcPr>
          <w:p w14:paraId="58856A66">
            <w:pPr>
              <w:rPr>
                <w:rFonts w:ascii="Arial"/>
              </w:rPr>
            </w:pPr>
          </w:p>
        </w:tc>
        <w:tc>
          <w:tcPr>
            <w:tcW w:w="1211" w:type="dxa"/>
          </w:tcPr>
          <w:p w14:paraId="066534E6">
            <w:pPr>
              <w:rPr>
                <w:rFonts w:ascii="Arial"/>
              </w:rPr>
            </w:pPr>
          </w:p>
        </w:tc>
        <w:tc>
          <w:tcPr>
            <w:tcW w:w="874" w:type="dxa"/>
          </w:tcPr>
          <w:p w14:paraId="15560526">
            <w:pPr>
              <w:rPr>
                <w:rFonts w:ascii="Arial"/>
              </w:rPr>
            </w:pPr>
          </w:p>
        </w:tc>
        <w:tc>
          <w:tcPr>
            <w:tcW w:w="1054" w:type="dxa"/>
          </w:tcPr>
          <w:p w14:paraId="6A0D67E5">
            <w:pPr>
              <w:rPr>
                <w:rFonts w:ascii="Arial"/>
              </w:rPr>
            </w:pPr>
          </w:p>
        </w:tc>
        <w:tc>
          <w:tcPr>
            <w:tcW w:w="695" w:type="dxa"/>
          </w:tcPr>
          <w:p w14:paraId="1CE9F614">
            <w:pPr>
              <w:rPr>
                <w:rFonts w:ascii="Arial"/>
              </w:rPr>
            </w:pPr>
          </w:p>
        </w:tc>
      </w:tr>
      <w:tr w14:paraId="1838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B667671">
            <w:pPr>
              <w:rPr>
                <w:rFonts w:ascii="Arial"/>
              </w:rPr>
            </w:pPr>
          </w:p>
        </w:tc>
        <w:tc>
          <w:tcPr>
            <w:tcW w:w="1085" w:type="dxa"/>
          </w:tcPr>
          <w:p w14:paraId="1FDFDB19">
            <w:pPr>
              <w:rPr>
                <w:rFonts w:ascii="Arial"/>
              </w:rPr>
            </w:pPr>
          </w:p>
        </w:tc>
        <w:tc>
          <w:tcPr>
            <w:tcW w:w="761" w:type="dxa"/>
          </w:tcPr>
          <w:p w14:paraId="23734C9B">
            <w:pPr>
              <w:rPr>
                <w:rFonts w:ascii="Arial"/>
              </w:rPr>
            </w:pPr>
          </w:p>
        </w:tc>
        <w:tc>
          <w:tcPr>
            <w:tcW w:w="989" w:type="dxa"/>
          </w:tcPr>
          <w:p w14:paraId="133AD200">
            <w:pPr>
              <w:rPr>
                <w:rFonts w:ascii="Arial"/>
              </w:rPr>
            </w:pPr>
          </w:p>
        </w:tc>
        <w:tc>
          <w:tcPr>
            <w:tcW w:w="672" w:type="dxa"/>
          </w:tcPr>
          <w:p w14:paraId="4DFA54E4">
            <w:pPr>
              <w:rPr>
                <w:rFonts w:ascii="Arial"/>
              </w:rPr>
            </w:pPr>
          </w:p>
        </w:tc>
        <w:tc>
          <w:tcPr>
            <w:tcW w:w="738" w:type="dxa"/>
          </w:tcPr>
          <w:p w14:paraId="787C7C51">
            <w:pPr>
              <w:rPr>
                <w:rFonts w:ascii="Arial"/>
              </w:rPr>
            </w:pPr>
          </w:p>
        </w:tc>
        <w:tc>
          <w:tcPr>
            <w:tcW w:w="1211" w:type="dxa"/>
          </w:tcPr>
          <w:p w14:paraId="159D9CD3">
            <w:pPr>
              <w:rPr>
                <w:rFonts w:ascii="Arial"/>
              </w:rPr>
            </w:pPr>
          </w:p>
        </w:tc>
        <w:tc>
          <w:tcPr>
            <w:tcW w:w="874" w:type="dxa"/>
          </w:tcPr>
          <w:p w14:paraId="6D732083">
            <w:pPr>
              <w:rPr>
                <w:rFonts w:ascii="Arial"/>
              </w:rPr>
            </w:pPr>
          </w:p>
        </w:tc>
        <w:tc>
          <w:tcPr>
            <w:tcW w:w="1054" w:type="dxa"/>
          </w:tcPr>
          <w:p w14:paraId="59324695">
            <w:pPr>
              <w:rPr>
                <w:rFonts w:ascii="Arial"/>
              </w:rPr>
            </w:pPr>
          </w:p>
        </w:tc>
        <w:tc>
          <w:tcPr>
            <w:tcW w:w="695" w:type="dxa"/>
          </w:tcPr>
          <w:p w14:paraId="588EBD03">
            <w:pPr>
              <w:rPr>
                <w:rFonts w:ascii="Arial"/>
              </w:rPr>
            </w:pPr>
          </w:p>
        </w:tc>
      </w:tr>
      <w:tr w14:paraId="7C98F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1D2D243A">
            <w:pPr>
              <w:rPr>
                <w:rFonts w:ascii="Arial"/>
              </w:rPr>
            </w:pPr>
          </w:p>
        </w:tc>
        <w:tc>
          <w:tcPr>
            <w:tcW w:w="1085" w:type="dxa"/>
          </w:tcPr>
          <w:p w14:paraId="7D0DF4DB">
            <w:pPr>
              <w:rPr>
                <w:rFonts w:ascii="Arial"/>
              </w:rPr>
            </w:pPr>
          </w:p>
        </w:tc>
        <w:tc>
          <w:tcPr>
            <w:tcW w:w="761" w:type="dxa"/>
          </w:tcPr>
          <w:p w14:paraId="78973112">
            <w:pPr>
              <w:rPr>
                <w:rFonts w:ascii="Arial"/>
              </w:rPr>
            </w:pPr>
          </w:p>
        </w:tc>
        <w:tc>
          <w:tcPr>
            <w:tcW w:w="989" w:type="dxa"/>
          </w:tcPr>
          <w:p w14:paraId="092B6E11">
            <w:pPr>
              <w:rPr>
                <w:rFonts w:ascii="Arial"/>
              </w:rPr>
            </w:pPr>
          </w:p>
        </w:tc>
        <w:tc>
          <w:tcPr>
            <w:tcW w:w="672" w:type="dxa"/>
          </w:tcPr>
          <w:p w14:paraId="5F5F25E3">
            <w:pPr>
              <w:rPr>
                <w:rFonts w:ascii="Arial"/>
              </w:rPr>
            </w:pPr>
          </w:p>
        </w:tc>
        <w:tc>
          <w:tcPr>
            <w:tcW w:w="738" w:type="dxa"/>
          </w:tcPr>
          <w:p w14:paraId="0D2D317C">
            <w:pPr>
              <w:rPr>
                <w:rFonts w:ascii="Arial"/>
              </w:rPr>
            </w:pPr>
          </w:p>
        </w:tc>
        <w:tc>
          <w:tcPr>
            <w:tcW w:w="1211" w:type="dxa"/>
          </w:tcPr>
          <w:p w14:paraId="6EF8F94F">
            <w:pPr>
              <w:rPr>
                <w:rFonts w:ascii="Arial"/>
              </w:rPr>
            </w:pPr>
          </w:p>
        </w:tc>
        <w:tc>
          <w:tcPr>
            <w:tcW w:w="874" w:type="dxa"/>
          </w:tcPr>
          <w:p w14:paraId="1423E6C8">
            <w:pPr>
              <w:rPr>
                <w:rFonts w:ascii="Arial"/>
              </w:rPr>
            </w:pPr>
          </w:p>
        </w:tc>
        <w:tc>
          <w:tcPr>
            <w:tcW w:w="1054" w:type="dxa"/>
          </w:tcPr>
          <w:p w14:paraId="2C8206FE">
            <w:pPr>
              <w:rPr>
                <w:rFonts w:ascii="Arial"/>
              </w:rPr>
            </w:pPr>
          </w:p>
        </w:tc>
        <w:tc>
          <w:tcPr>
            <w:tcW w:w="695" w:type="dxa"/>
          </w:tcPr>
          <w:p w14:paraId="4750686A">
            <w:pPr>
              <w:rPr>
                <w:rFonts w:ascii="Arial"/>
              </w:rPr>
            </w:pPr>
          </w:p>
        </w:tc>
      </w:tr>
      <w:tr w14:paraId="6075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84FBD5E">
            <w:pPr>
              <w:rPr>
                <w:rFonts w:ascii="Arial"/>
              </w:rPr>
            </w:pPr>
          </w:p>
        </w:tc>
        <w:tc>
          <w:tcPr>
            <w:tcW w:w="1085" w:type="dxa"/>
          </w:tcPr>
          <w:p w14:paraId="6D7A1F16">
            <w:pPr>
              <w:rPr>
                <w:rFonts w:ascii="Arial"/>
              </w:rPr>
            </w:pPr>
          </w:p>
        </w:tc>
        <w:tc>
          <w:tcPr>
            <w:tcW w:w="761" w:type="dxa"/>
          </w:tcPr>
          <w:p w14:paraId="2AC7A283">
            <w:pPr>
              <w:rPr>
                <w:rFonts w:ascii="Arial"/>
              </w:rPr>
            </w:pPr>
          </w:p>
        </w:tc>
        <w:tc>
          <w:tcPr>
            <w:tcW w:w="989" w:type="dxa"/>
          </w:tcPr>
          <w:p w14:paraId="3D4264AA">
            <w:pPr>
              <w:rPr>
                <w:rFonts w:ascii="Arial"/>
              </w:rPr>
            </w:pPr>
          </w:p>
        </w:tc>
        <w:tc>
          <w:tcPr>
            <w:tcW w:w="672" w:type="dxa"/>
          </w:tcPr>
          <w:p w14:paraId="4DB86252">
            <w:pPr>
              <w:rPr>
                <w:rFonts w:ascii="Arial"/>
              </w:rPr>
            </w:pPr>
          </w:p>
        </w:tc>
        <w:tc>
          <w:tcPr>
            <w:tcW w:w="738" w:type="dxa"/>
          </w:tcPr>
          <w:p w14:paraId="79EF03D7">
            <w:pPr>
              <w:rPr>
                <w:rFonts w:ascii="Arial"/>
              </w:rPr>
            </w:pPr>
          </w:p>
        </w:tc>
        <w:tc>
          <w:tcPr>
            <w:tcW w:w="1211" w:type="dxa"/>
          </w:tcPr>
          <w:p w14:paraId="3735D3B4">
            <w:pPr>
              <w:rPr>
                <w:rFonts w:ascii="Arial"/>
              </w:rPr>
            </w:pPr>
          </w:p>
        </w:tc>
        <w:tc>
          <w:tcPr>
            <w:tcW w:w="874" w:type="dxa"/>
          </w:tcPr>
          <w:p w14:paraId="7D705822">
            <w:pPr>
              <w:rPr>
                <w:rFonts w:ascii="Arial"/>
              </w:rPr>
            </w:pPr>
          </w:p>
        </w:tc>
        <w:tc>
          <w:tcPr>
            <w:tcW w:w="1054" w:type="dxa"/>
          </w:tcPr>
          <w:p w14:paraId="6D9B6F0F">
            <w:pPr>
              <w:rPr>
                <w:rFonts w:ascii="Arial"/>
              </w:rPr>
            </w:pPr>
          </w:p>
        </w:tc>
        <w:tc>
          <w:tcPr>
            <w:tcW w:w="695" w:type="dxa"/>
          </w:tcPr>
          <w:p w14:paraId="39729AA4">
            <w:pPr>
              <w:rPr>
                <w:rFonts w:ascii="Arial"/>
              </w:rPr>
            </w:pPr>
          </w:p>
        </w:tc>
      </w:tr>
      <w:tr w14:paraId="12D3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622A0E56">
            <w:pPr>
              <w:rPr>
                <w:rFonts w:ascii="Arial"/>
              </w:rPr>
            </w:pPr>
          </w:p>
        </w:tc>
        <w:tc>
          <w:tcPr>
            <w:tcW w:w="1085" w:type="dxa"/>
          </w:tcPr>
          <w:p w14:paraId="174CB736">
            <w:pPr>
              <w:rPr>
                <w:rFonts w:ascii="Arial"/>
              </w:rPr>
            </w:pPr>
          </w:p>
        </w:tc>
        <w:tc>
          <w:tcPr>
            <w:tcW w:w="761" w:type="dxa"/>
          </w:tcPr>
          <w:p w14:paraId="4E9CA73B">
            <w:pPr>
              <w:rPr>
                <w:rFonts w:ascii="Arial"/>
              </w:rPr>
            </w:pPr>
          </w:p>
        </w:tc>
        <w:tc>
          <w:tcPr>
            <w:tcW w:w="989" w:type="dxa"/>
          </w:tcPr>
          <w:p w14:paraId="4D9B65EC">
            <w:pPr>
              <w:rPr>
                <w:rFonts w:ascii="Arial"/>
              </w:rPr>
            </w:pPr>
          </w:p>
        </w:tc>
        <w:tc>
          <w:tcPr>
            <w:tcW w:w="672" w:type="dxa"/>
          </w:tcPr>
          <w:p w14:paraId="38585151">
            <w:pPr>
              <w:rPr>
                <w:rFonts w:ascii="Arial"/>
              </w:rPr>
            </w:pPr>
          </w:p>
        </w:tc>
        <w:tc>
          <w:tcPr>
            <w:tcW w:w="738" w:type="dxa"/>
          </w:tcPr>
          <w:p w14:paraId="3FEA256F">
            <w:pPr>
              <w:rPr>
                <w:rFonts w:ascii="Arial"/>
              </w:rPr>
            </w:pPr>
          </w:p>
        </w:tc>
        <w:tc>
          <w:tcPr>
            <w:tcW w:w="1211" w:type="dxa"/>
          </w:tcPr>
          <w:p w14:paraId="19248883">
            <w:pPr>
              <w:rPr>
                <w:rFonts w:ascii="Arial"/>
              </w:rPr>
            </w:pPr>
          </w:p>
        </w:tc>
        <w:tc>
          <w:tcPr>
            <w:tcW w:w="874" w:type="dxa"/>
          </w:tcPr>
          <w:p w14:paraId="176F0828">
            <w:pPr>
              <w:rPr>
                <w:rFonts w:ascii="Arial"/>
              </w:rPr>
            </w:pPr>
          </w:p>
        </w:tc>
        <w:tc>
          <w:tcPr>
            <w:tcW w:w="1054" w:type="dxa"/>
          </w:tcPr>
          <w:p w14:paraId="39E439B7">
            <w:pPr>
              <w:rPr>
                <w:rFonts w:ascii="Arial"/>
              </w:rPr>
            </w:pPr>
          </w:p>
        </w:tc>
        <w:tc>
          <w:tcPr>
            <w:tcW w:w="695" w:type="dxa"/>
          </w:tcPr>
          <w:p w14:paraId="4DD3433A">
            <w:pPr>
              <w:rPr>
                <w:rFonts w:ascii="Arial"/>
              </w:rPr>
            </w:pPr>
          </w:p>
        </w:tc>
      </w:tr>
      <w:tr w14:paraId="34F0F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6F002222">
            <w:pPr>
              <w:rPr>
                <w:rFonts w:ascii="Arial"/>
              </w:rPr>
            </w:pPr>
          </w:p>
        </w:tc>
        <w:tc>
          <w:tcPr>
            <w:tcW w:w="1085" w:type="dxa"/>
          </w:tcPr>
          <w:p w14:paraId="5CD0B14F">
            <w:pPr>
              <w:rPr>
                <w:rFonts w:ascii="Arial"/>
              </w:rPr>
            </w:pPr>
          </w:p>
        </w:tc>
        <w:tc>
          <w:tcPr>
            <w:tcW w:w="761" w:type="dxa"/>
          </w:tcPr>
          <w:p w14:paraId="1700B066">
            <w:pPr>
              <w:rPr>
                <w:rFonts w:ascii="Arial"/>
              </w:rPr>
            </w:pPr>
          </w:p>
        </w:tc>
        <w:tc>
          <w:tcPr>
            <w:tcW w:w="989" w:type="dxa"/>
          </w:tcPr>
          <w:p w14:paraId="527448F9">
            <w:pPr>
              <w:rPr>
                <w:rFonts w:ascii="Arial"/>
              </w:rPr>
            </w:pPr>
          </w:p>
        </w:tc>
        <w:tc>
          <w:tcPr>
            <w:tcW w:w="672" w:type="dxa"/>
          </w:tcPr>
          <w:p w14:paraId="0472DE1C">
            <w:pPr>
              <w:rPr>
                <w:rFonts w:ascii="Arial"/>
              </w:rPr>
            </w:pPr>
          </w:p>
        </w:tc>
        <w:tc>
          <w:tcPr>
            <w:tcW w:w="738" w:type="dxa"/>
          </w:tcPr>
          <w:p w14:paraId="3FB061CC">
            <w:pPr>
              <w:rPr>
                <w:rFonts w:ascii="Arial"/>
              </w:rPr>
            </w:pPr>
          </w:p>
        </w:tc>
        <w:tc>
          <w:tcPr>
            <w:tcW w:w="1211" w:type="dxa"/>
          </w:tcPr>
          <w:p w14:paraId="50EB9C73">
            <w:pPr>
              <w:rPr>
                <w:rFonts w:ascii="Arial"/>
              </w:rPr>
            </w:pPr>
          </w:p>
        </w:tc>
        <w:tc>
          <w:tcPr>
            <w:tcW w:w="874" w:type="dxa"/>
          </w:tcPr>
          <w:p w14:paraId="6043C047">
            <w:pPr>
              <w:rPr>
                <w:rFonts w:ascii="Arial"/>
              </w:rPr>
            </w:pPr>
          </w:p>
        </w:tc>
        <w:tc>
          <w:tcPr>
            <w:tcW w:w="1054" w:type="dxa"/>
          </w:tcPr>
          <w:p w14:paraId="297EDBF0">
            <w:pPr>
              <w:rPr>
                <w:rFonts w:ascii="Arial"/>
              </w:rPr>
            </w:pPr>
          </w:p>
        </w:tc>
        <w:tc>
          <w:tcPr>
            <w:tcW w:w="695" w:type="dxa"/>
          </w:tcPr>
          <w:p w14:paraId="48D682AC">
            <w:pPr>
              <w:rPr>
                <w:rFonts w:ascii="Arial"/>
              </w:rPr>
            </w:pPr>
          </w:p>
        </w:tc>
      </w:tr>
      <w:tr w14:paraId="3462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78FCD47C">
            <w:pPr>
              <w:rPr>
                <w:rFonts w:ascii="Arial"/>
              </w:rPr>
            </w:pPr>
          </w:p>
        </w:tc>
        <w:tc>
          <w:tcPr>
            <w:tcW w:w="1085" w:type="dxa"/>
          </w:tcPr>
          <w:p w14:paraId="2E849927">
            <w:pPr>
              <w:rPr>
                <w:rFonts w:ascii="Arial"/>
              </w:rPr>
            </w:pPr>
          </w:p>
        </w:tc>
        <w:tc>
          <w:tcPr>
            <w:tcW w:w="761" w:type="dxa"/>
          </w:tcPr>
          <w:p w14:paraId="442F5EDB">
            <w:pPr>
              <w:rPr>
                <w:rFonts w:ascii="Arial"/>
              </w:rPr>
            </w:pPr>
          </w:p>
        </w:tc>
        <w:tc>
          <w:tcPr>
            <w:tcW w:w="989" w:type="dxa"/>
          </w:tcPr>
          <w:p w14:paraId="60854D52">
            <w:pPr>
              <w:rPr>
                <w:rFonts w:ascii="Arial"/>
              </w:rPr>
            </w:pPr>
          </w:p>
        </w:tc>
        <w:tc>
          <w:tcPr>
            <w:tcW w:w="672" w:type="dxa"/>
          </w:tcPr>
          <w:p w14:paraId="2BBA7234">
            <w:pPr>
              <w:rPr>
                <w:rFonts w:ascii="Arial"/>
              </w:rPr>
            </w:pPr>
          </w:p>
        </w:tc>
        <w:tc>
          <w:tcPr>
            <w:tcW w:w="738" w:type="dxa"/>
          </w:tcPr>
          <w:p w14:paraId="7B3DEFD8">
            <w:pPr>
              <w:rPr>
                <w:rFonts w:ascii="Arial"/>
              </w:rPr>
            </w:pPr>
          </w:p>
        </w:tc>
        <w:tc>
          <w:tcPr>
            <w:tcW w:w="1211" w:type="dxa"/>
          </w:tcPr>
          <w:p w14:paraId="6EE33049">
            <w:pPr>
              <w:rPr>
                <w:rFonts w:ascii="Arial"/>
              </w:rPr>
            </w:pPr>
          </w:p>
        </w:tc>
        <w:tc>
          <w:tcPr>
            <w:tcW w:w="874" w:type="dxa"/>
          </w:tcPr>
          <w:p w14:paraId="7070C1D2">
            <w:pPr>
              <w:rPr>
                <w:rFonts w:ascii="Arial"/>
              </w:rPr>
            </w:pPr>
          </w:p>
        </w:tc>
        <w:tc>
          <w:tcPr>
            <w:tcW w:w="1054" w:type="dxa"/>
          </w:tcPr>
          <w:p w14:paraId="626BF275">
            <w:pPr>
              <w:rPr>
                <w:rFonts w:ascii="Arial"/>
              </w:rPr>
            </w:pPr>
          </w:p>
        </w:tc>
        <w:tc>
          <w:tcPr>
            <w:tcW w:w="695" w:type="dxa"/>
          </w:tcPr>
          <w:p w14:paraId="757B2B33">
            <w:pPr>
              <w:rPr>
                <w:rFonts w:ascii="Arial"/>
              </w:rPr>
            </w:pPr>
          </w:p>
        </w:tc>
      </w:tr>
      <w:tr w14:paraId="4062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41C361B7">
            <w:pPr>
              <w:rPr>
                <w:rFonts w:ascii="Arial"/>
              </w:rPr>
            </w:pPr>
          </w:p>
        </w:tc>
        <w:tc>
          <w:tcPr>
            <w:tcW w:w="1085" w:type="dxa"/>
          </w:tcPr>
          <w:p w14:paraId="2941DE7C">
            <w:pPr>
              <w:rPr>
                <w:rFonts w:ascii="Arial"/>
              </w:rPr>
            </w:pPr>
          </w:p>
        </w:tc>
        <w:tc>
          <w:tcPr>
            <w:tcW w:w="761" w:type="dxa"/>
          </w:tcPr>
          <w:p w14:paraId="68F46175">
            <w:pPr>
              <w:rPr>
                <w:rFonts w:ascii="Arial"/>
              </w:rPr>
            </w:pPr>
          </w:p>
        </w:tc>
        <w:tc>
          <w:tcPr>
            <w:tcW w:w="989" w:type="dxa"/>
          </w:tcPr>
          <w:p w14:paraId="2A4AB01E">
            <w:pPr>
              <w:rPr>
                <w:rFonts w:ascii="Arial"/>
              </w:rPr>
            </w:pPr>
          </w:p>
        </w:tc>
        <w:tc>
          <w:tcPr>
            <w:tcW w:w="672" w:type="dxa"/>
          </w:tcPr>
          <w:p w14:paraId="3F3486E9">
            <w:pPr>
              <w:rPr>
                <w:rFonts w:ascii="Arial"/>
              </w:rPr>
            </w:pPr>
          </w:p>
        </w:tc>
        <w:tc>
          <w:tcPr>
            <w:tcW w:w="738" w:type="dxa"/>
          </w:tcPr>
          <w:p w14:paraId="5EE5398B">
            <w:pPr>
              <w:rPr>
                <w:rFonts w:ascii="Arial"/>
              </w:rPr>
            </w:pPr>
          </w:p>
        </w:tc>
        <w:tc>
          <w:tcPr>
            <w:tcW w:w="1211" w:type="dxa"/>
          </w:tcPr>
          <w:p w14:paraId="4D21F58F">
            <w:pPr>
              <w:rPr>
                <w:rFonts w:ascii="Arial"/>
              </w:rPr>
            </w:pPr>
          </w:p>
        </w:tc>
        <w:tc>
          <w:tcPr>
            <w:tcW w:w="874" w:type="dxa"/>
          </w:tcPr>
          <w:p w14:paraId="6D7BEDE3">
            <w:pPr>
              <w:rPr>
                <w:rFonts w:ascii="Arial"/>
              </w:rPr>
            </w:pPr>
          </w:p>
        </w:tc>
        <w:tc>
          <w:tcPr>
            <w:tcW w:w="1054" w:type="dxa"/>
          </w:tcPr>
          <w:p w14:paraId="40E888E0">
            <w:pPr>
              <w:rPr>
                <w:rFonts w:ascii="Arial"/>
              </w:rPr>
            </w:pPr>
          </w:p>
        </w:tc>
        <w:tc>
          <w:tcPr>
            <w:tcW w:w="695" w:type="dxa"/>
          </w:tcPr>
          <w:p w14:paraId="7CD49C2B">
            <w:pPr>
              <w:rPr>
                <w:rFonts w:ascii="Arial"/>
              </w:rPr>
            </w:pPr>
          </w:p>
        </w:tc>
      </w:tr>
      <w:tr w14:paraId="412E9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E6B7D62">
            <w:pPr>
              <w:rPr>
                <w:rFonts w:ascii="Arial"/>
              </w:rPr>
            </w:pPr>
          </w:p>
        </w:tc>
        <w:tc>
          <w:tcPr>
            <w:tcW w:w="1085" w:type="dxa"/>
          </w:tcPr>
          <w:p w14:paraId="046F8426">
            <w:pPr>
              <w:rPr>
                <w:rFonts w:ascii="Arial"/>
              </w:rPr>
            </w:pPr>
          </w:p>
        </w:tc>
        <w:tc>
          <w:tcPr>
            <w:tcW w:w="761" w:type="dxa"/>
          </w:tcPr>
          <w:p w14:paraId="794092C6">
            <w:pPr>
              <w:rPr>
                <w:rFonts w:ascii="Arial"/>
              </w:rPr>
            </w:pPr>
          </w:p>
        </w:tc>
        <w:tc>
          <w:tcPr>
            <w:tcW w:w="989" w:type="dxa"/>
          </w:tcPr>
          <w:p w14:paraId="548A1492">
            <w:pPr>
              <w:rPr>
                <w:rFonts w:ascii="Arial"/>
              </w:rPr>
            </w:pPr>
          </w:p>
        </w:tc>
        <w:tc>
          <w:tcPr>
            <w:tcW w:w="672" w:type="dxa"/>
          </w:tcPr>
          <w:p w14:paraId="4EBD4644">
            <w:pPr>
              <w:rPr>
                <w:rFonts w:ascii="Arial"/>
              </w:rPr>
            </w:pPr>
          </w:p>
        </w:tc>
        <w:tc>
          <w:tcPr>
            <w:tcW w:w="738" w:type="dxa"/>
          </w:tcPr>
          <w:p w14:paraId="29365856">
            <w:pPr>
              <w:rPr>
                <w:rFonts w:ascii="Arial"/>
              </w:rPr>
            </w:pPr>
          </w:p>
        </w:tc>
        <w:tc>
          <w:tcPr>
            <w:tcW w:w="1211" w:type="dxa"/>
          </w:tcPr>
          <w:p w14:paraId="4D0CF9B5">
            <w:pPr>
              <w:rPr>
                <w:rFonts w:ascii="Arial"/>
              </w:rPr>
            </w:pPr>
          </w:p>
        </w:tc>
        <w:tc>
          <w:tcPr>
            <w:tcW w:w="874" w:type="dxa"/>
          </w:tcPr>
          <w:p w14:paraId="060474E6">
            <w:pPr>
              <w:rPr>
                <w:rFonts w:ascii="Arial"/>
              </w:rPr>
            </w:pPr>
          </w:p>
        </w:tc>
        <w:tc>
          <w:tcPr>
            <w:tcW w:w="1054" w:type="dxa"/>
          </w:tcPr>
          <w:p w14:paraId="25C2AABA">
            <w:pPr>
              <w:rPr>
                <w:rFonts w:ascii="Arial"/>
              </w:rPr>
            </w:pPr>
          </w:p>
        </w:tc>
        <w:tc>
          <w:tcPr>
            <w:tcW w:w="695" w:type="dxa"/>
          </w:tcPr>
          <w:p w14:paraId="4A12C24D">
            <w:pPr>
              <w:rPr>
                <w:rFonts w:ascii="Arial"/>
              </w:rPr>
            </w:pPr>
          </w:p>
        </w:tc>
      </w:tr>
      <w:tr w14:paraId="7F28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2C8440FC">
            <w:pPr>
              <w:rPr>
                <w:rFonts w:ascii="Arial"/>
              </w:rPr>
            </w:pPr>
          </w:p>
        </w:tc>
        <w:tc>
          <w:tcPr>
            <w:tcW w:w="1085" w:type="dxa"/>
          </w:tcPr>
          <w:p w14:paraId="24FA19CF">
            <w:pPr>
              <w:rPr>
                <w:rFonts w:ascii="Arial"/>
              </w:rPr>
            </w:pPr>
          </w:p>
        </w:tc>
        <w:tc>
          <w:tcPr>
            <w:tcW w:w="761" w:type="dxa"/>
          </w:tcPr>
          <w:p w14:paraId="731335AA">
            <w:pPr>
              <w:rPr>
                <w:rFonts w:ascii="Arial"/>
              </w:rPr>
            </w:pPr>
          </w:p>
        </w:tc>
        <w:tc>
          <w:tcPr>
            <w:tcW w:w="989" w:type="dxa"/>
          </w:tcPr>
          <w:p w14:paraId="15AE755D">
            <w:pPr>
              <w:rPr>
                <w:rFonts w:ascii="Arial"/>
              </w:rPr>
            </w:pPr>
          </w:p>
        </w:tc>
        <w:tc>
          <w:tcPr>
            <w:tcW w:w="672" w:type="dxa"/>
          </w:tcPr>
          <w:p w14:paraId="0CA50E84">
            <w:pPr>
              <w:rPr>
                <w:rFonts w:ascii="Arial"/>
              </w:rPr>
            </w:pPr>
          </w:p>
        </w:tc>
        <w:tc>
          <w:tcPr>
            <w:tcW w:w="738" w:type="dxa"/>
          </w:tcPr>
          <w:p w14:paraId="3BF0814A">
            <w:pPr>
              <w:rPr>
                <w:rFonts w:ascii="Arial"/>
              </w:rPr>
            </w:pPr>
          </w:p>
        </w:tc>
        <w:tc>
          <w:tcPr>
            <w:tcW w:w="1211" w:type="dxa"/>
          </w:tcPr>
          <w:p w14:paraId="7DE88F13">
            <w:pPr>
              <w:rPr>
                <w:rFonts w:ascii="Arial"/>
              </w:rPr>
            </w:pPr>
          </w:p>
        </w:tc>
        <w:tc>
          <w:tcPr>
            <w:tcW w:w="874" w:type="dxa"/>
          </w:tcPr>
          <w:p w14:paraId="33217A97">
            <w:pPr>
              <w:rPr>
                <w:rFonts w:ascii="Arial"/>
              </w:rPr>
            </w:pPr>
          </w:p>
        </w:tc>
        <w:tc>
          <w:tcPr>
            <w:tcW w:w="1054" w:type="dxa"/>
          </w:tcPr>
          <w:p w14:paraId="400443A9">
            <w:pPr>
              <w:rPr>
                <w:rFonts w:ascii="Arial"/>
              </w:rPr>
            </w:pPr>
          </w:p>
        </w:tc>
        <w:tc>
          <w:tcPr>
            <w:tcW w:w="695" w:type="dxa"/>
          </w:tcPr>
          <w:p w14:paraId="3504A83F">
            <w:pPr>
              <w:rPr>
                <w:rFonts w:ascii="Arial"/>
              </w:rPr>
            </w:pPr>
          </w:p>
        </w:tc>
      </w:tr>
      <w:tr w14:paraId="1CEA2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F9C7E17">
            <w:pPr>
              <w:rPr>
                <w:rFonts w:ascii="Arial"/>
              </w:rPr>
            </w:pPr>
          </w:p>
        </w:tc>
        <w:tc>
          <w:tcPr>
            <w:tcW w:w="1085" w:type="dxa"/>
          </w:tcPr>
          <w:p w14:paraId="37427035">
            <w:pPr>
              <w:rPr>
                <w:rFonts w:ascii="Arial"/>
              </w:rPr>
            </w:pPr>
          </w:p>
        </w:tc>
        <w:tc>
          <w:tcPr>
            <w:tcW w:w="761" w:type="dxa"/>
          </w:tcPr>
          <w:p w14:paraId="512E191D">
            <w:pPr>
              <w:rPr>
                <w:rFonts w:ascii="Arial"/>
              </w:rPr>
            </w:pPr>
          </w:p>
        </w:tc>
        <w:tc>
          <w:tcPr>
            <w:tcW w:w="989" w:type="dxa"/>
          </w:tcPr>
          <w:p w14:paraId="3441D108">
            <w:pPr>
              <w:rPr>
                <w:rFonts w:ascii="Arial"/>
              </w:rPr>
            </w:pPr>
          </w:p>
        </w:tc>
        <w:tc>
          <w:tcPr>
            <w:tcW w:w="672" w:type="dxa"/>
          </w:tcPr>
          <w:p w14:paraId="1BC6A317">
            <w:pPr>
              <w:rPr>
                <w:rFonts w:ascii="Arial"/>
              </w:rPr>
            </w:pPr>
          </w:p>
        </w:tc>
        <w:tc>
          <w:tcPr>
            <w:tcW w:w="738" w:type="dxa"/>
          </w:tcPr>
          <w:p w14:paraId="2A6ADCCB">
            <w:pPr>
              <w:rPr>
                <w:rFonts w:ascii="Arial"/>
              </w:rPr>
            </w:pPr>
          </w:p>
        </w:tc>
        <w:tc>
          <w:tcPr>
            <w:tcW w:w="1211" w:type="dxa"/>
          </w:tcPr>
          <w:p w14:paraId="2B3BEC7C">
            <w:pPr>
              <w:rPr>
                <w:rFonts w:ascii="Arial"/>
              </w:rPr>
            </w:pPr>
          </w:p>
        </w:tc>
        <w:tc>
          <w:tcPr>
            <w:tcW w:w="874" w:type="dxa"/>
          </w:tcPr>
          <w:p w14:paraId="4021FDAD">
            <w:pPr>
              <w:rPr>
                <w:rFonts w:ascii="Arial"/>
              </w:rPr>
            </w:pPr>
          </w:p>
        </w:tc>
        <w:tc>
          <w:tcPr>
            <w:tcW w:w="1054" w:type="dxa"/>
          </w:tcPr>
          <w:p w14:paraId="1F9ECD22">
            <w:pPr>
              <w:rPr>
                <w:rFonts w:ascii="Arial"/>
              </w:rPr>
            </w:pPr>
          </w:p>
        </w:tc>
        <w:tc>
          <w:tcPr>
            <w:tcW w:w="695" w:type="dxa"/>
          </w:tcPr>
          <w:p w14:paraId="25CA2DE9">
            <w:pPr>
              <w:rPr>
                <w:rFonts w:ascii="Arial"/>
              </w:rPr>
            </w:pPr>
          </w:p>
        </w:tc>
      </w:tr>
      <w:tr w14:paraId="5503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FACAFA2">
            <w:pPr>
              <w:rPr>
                <w:rFonts w:ascii="Arial"/>
              </w:rPr>
            </w:pPr>
          </w:p>
        </w:tc>
        <w:tc>
          <w:tcPr>
            <w:tcW w:w="1085" w:type="dxa"/>
          </w:tcPr>
          <w:p w14:paraId="2C4920D5">
            <w:pPr>
              <w:rPr>
                <w:rFonts w:ascii="Arial"/>
              </w:rPr>
            </w:pPr>
          </w:p>
        </w:tc>
        <w:tc>
          <w:tcPr>
            <w:tcW w:w="761" w:type="dxa"/>
          </w:tcPr>
          <w:p w14:paraId="6A90BB51">
            <w:pPr>
              <w:rPr>
                <w:rFonts w:ascii="Arial"/>
              </w:rPr>
            </w:pPr>
          </w:p>
        </w:tc>
        <w:tc>
          <w:tcPr>
            <w:tcW w:w="989" w:type="dxa"/>
          </w:tcPr>
          <w:p w14:paraId="028BACB4">
            <w:pPr>
              <w:rPr>
                <w:rFonts w:ascii="Arial"/>
              </w:rPr>
            </w:pPr>
          </w:p>
        </w:tc>
        <w:tc>
          <w:tcPr>
            <w:tcW w:w="672" w:type="dxa"/>
          </w:tcPr>
          <w:p w14:paraId="7046C03F">
            <w:pPr>
              <w:rPr>
                <w:rFonts w:ascii="Arial"/>
              </w:rPr>
            </w:pPr>
          </w:p>
        </w:tc>
        <w:tc>
          <w:tcPr>
            <w:tcW w:w="738" w:type="dxa"/>
          </w:tcPr>
          <w:p w14:paraId="38A8B919">
            <w:pPr>
              <w:rPr>
                <w:rFonts w:ascii="Arial"/>
              </w:rPr>
            </w:pPr>
          </w:p>
        </w:tc>
        <w:tc>
          <w:tcPr>
            <w:tcW w:w="1211" w:type="dxa"/>
          </w:tcPr>
          <w:p w14:paraId="52778BD2">
            <w:pPr>
              <w:rPr>
                <w:rFonts w:ascii="Arial"/>
              </w:rPr>
            </w:pPr>
          </w:p>
        </w:tc>
        <w:tc>
          <w:tcPr>
            <w:tcW w:w="874" w:type="dxa"/>
          </w:tcPr>
          <w:p w14:paraId="6180341B">
            <w:pPr>
              <w:rPr>
                <w:rFonts w:ascii="Arial"/>
              </w:rPr>
            </w:pPr>
          </w:p>
        </w:tc>
        <w:tc>
          <w:tcPr>
            <w:tcW w:w="1054" w:type="dxa"/>
          </w:tcPr>
          <w:p w14:paraId="655F8AFC">
            <w:pPr>
              <w:rPr>
                <w:rFonts w:ascii="Arial"/>
              </w:rPr>
            </w:pPr>
          </w:p>
        </w:tc>
        <w:tc>
          <w:tcPr>
            <w:tcW w:w="695" w:type="dxa"/>
          </w:tcPr>
          <w:p w14:paraId="6E9F87F7">
            <w:pPr>
              <w:rPr>
                <w:rFonts w:ascii="Arial"/>
              </w:rPr>
            </w:pPr>
          </w:p>
        </w:tc>
      </w:tr>
      <w:tr w14:paraId="4C607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9" w:type="dxa"/>
          </w:tcPr>
          <w:p w14:paraId="14FA8A79">
            <w:pPr>
              <w:rPr>
                <w:rFonts w:ascii="Arial"/>
              </w:rPr>
            </w:pPr>
          </w:p>
        </w:tc>
        <w:tc>
          <w:tcPr>
            <w:tcW w:w="1085" w:type="dxa"/>
          </w:tcPr>
          <w:p w14:paraId="403C28ED">
            <w:pPr>
              <w:rPr>
                <w:rFonts w:ascii="Arial"/>
              </w:rPr>
            </w:pPr>
          </w:p>
        </w:tc>
        <w:tc>
          <w:tcPr>
            <w:tcW w:w="761" w:type="dxa"/>
          </w:tcPr>
          <w:p w14:paraId="6800DCC3">
            <w:pPr>
              <w:rPr>
                <w:rFonts w:ascii="Arial"/>
              </w:rPr>
            </w:pPr>
          </w:p>
        </w:tc>
        <w:tc>
          <w:tcPr>
            <w:tcW w:w="989" w:type="dxa"/>
          </w:tcPr>
          <w:p w14:paraId="70C282C5">
            <w:pPr>
              <w:rPr>
                <w:rFonts w:ascii="Arial"/>
              </w:rPr>
            </w:pPr>
          </w:p>
        </w:tc>
        <w:tc>
          <w:tcPr>
            <w:tcW w:w="672" w:type="dxa"/>
          </w:tcPr>
          <w:p w14:paraId="24D1F8FD">
            <w:pPr>
              <w:rPr>
                <w:rFonts w:ascii="Arial"/>
              </w:rPr>
            </w:pPr>
          </w:p>
        </w:tc>
        <w:tc>
          <w:tcPr>
            <w:tcW w:w="738" w:type="dxa"/>
          </w:tcPr>
          <w:p w14:paraId="4A4B092A">
            <w:pPr>
              <w:rPr>
                <w:rFonts w:ascii="Arial"/>
              </w:rPr>
            </w:pPr>
          </w:p>
        </w:tc>
        <w:tc>
          <w:tcPr>
            <w:tcW w:w="1211" w:type="dxa"/>
          </w:tcPr>
          <w:p w14:paraId="6B0AE856">
            <w:pPr>
              <w:rPr>
                <w:rFonts w:ascii="Arial"/>
              </w:rPr>
            </w:pPr>
          </w:p>
        </w:tc>
        <w:tc>
          <w:tcPr>
            <w:tcW w:w="874" w:type="dxa"/>
          </w:tcPr>
          <w:p w14:paraId="4B63052E">
            <w:pPr>
              <w:rPr>
                <w:rFonts w:ascii="Arial"/>
              </w:rPr>
            </w:pPr>
          </w:p>
        </w:tc>
        <w:tc>
          <w:tcPr>
            <w:tcW w:w="1054" w:type="dxa"/>
          </w:tcPr>
          <w:p w14:paraId="6B1E20D6">
            <w:pPr>
              <w:rPr>
                <w:rFonts w:ascii="Arial"/>
              </w:rPr>
            </w:pPr>
          </w:p>
        </w:tc>
        <w:tc>
          <w:tcPr>
            <w:tcW w:w="695" w:type="dxa"/>
          </w:tcPr>
          <w:p w14:paraId="312B253A">
            <w:pPr>
              <w:rPr>
                <w:rFonts w:ascii="Arial"/>
              </w:rPr>
            </w:pPr>
          </w:p>
        </w:tc>
      </w:tr>
    </w:tbl>
    <w:p w14:paraId="2BD8F42C">
      <w:pPr>
        <w:pStyle w:val="9"/>
      </w:pPr>
    </w:p>
    <w:p w14:paraId="11EFAE08">
      <w:pPr>
        <w:sectPr>
          <w:footerReference r:id="rId10" w:type="default"/>
          <w:pgSz w:w="11906" w:h="16838"/>
          <w:pgMar w:top="1701" w:right="1531" w:bottom="1531" w:left="1531" w:header="0" w:footer="986" w:gutter="0"/>
          <w:cols w:space="0" w:num="1"/>
        </w:sectPr>
      </w:pPr>
    </w:p>
    <w:p w14:paraId="6DD92782">
      <w:pPr>
        <w:spacing w:line="360" w:lineRule="auto"/>
        <w:jc w:val="center"/>
        <w:rPr>
          <w:b/>
          <w:bCs/>
          <w:sz w:val="24"/>
          <w:szCs w:val="24"/>
        </w:rPr>
      </w:pPr>
      <w:bookmarkStart w:id="758" w:name="bookmark74"/>
      <w:bookmarkEnd w:id="758"/>
      <w:bookmarkStart w:id="759" w:name="bookmark73"/>
      <w:bookmarkEnd w:id="759"/>
      <w:r>
        <w:rPr>
          <w:rFonts w:hint="eastAsia"/>
          <w:b/>
          <w:bCs/>
          <w:sz w:val="24"/>
          <w:szCs w:val="24"/>
        </w:rPr>
        <w:t>附表二：劳动力计划表</w:t>
      </w:r>
    </w:p>
    <w:p w14:paraId="238915A6">
      <w:pPr>
        <w:spacing w:before="65" w:line="231" w:lineRule="auto"/>
        <w:ind w:left="7391"/>
        <w:rPr>
          <w:rFonts w:ascii="黑体" w:hAnsi="黑体" w:eastAsia="黑体" w:cs="黑体"/>
          <w:sz w:val="20"/>
          <w:szCs w:val="20"/>
        </w:rPr>
      </w:pPr>
      <w:r>
        <w:rPr>
          <w:rFonts w:ascii="黑体" w:hAnsi="黑体" w:eastAsia="黑体" w:cs="黑体"/>
          <w:spacing w:val="6"/>
          <w:sz w:val="20"/>
          <w:szCs w:val="20"/>
        </w:rPr>
        <w:t>单位：人</w:t>
      </w:r>
    </w:p>
    <w:p w14:paraId="02E9C471">
      <w:pPr>
        <w:spacing w:line="16" w:lineRule="exact"/>
      </w:pPr>
    </w:p>
    <w:tbl>
      <w:tblPr>
        <w:tblStyle w:val="6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03"/>
        <w:gridCol w:w="1064"/>
        <w:gridCol w:w="1064"/>
        <w:gridCol w:w="1064"/>
        <w:gridCol w:w="1065"/>
        <w:gridCol w:w="1065"/>
        <w:gridCol w:w="1068"/>
      </w:tblGrid>
      <w:tr w14:paraId="75D37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33" w:type="dxa"/>
            <w:vAlign w:val="center"/>
          </w:tcPr>
          <w:p w14:paraId="467B4F1C">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工种</w:t>
            </w:r>
          </w:p>
        </w:tc>
        <w:tc>
          <w:tcPr>
            <w:tcW w:w="7693" w:type="dxa"/>
            <w:gridSpan w:val="7"/>
            <w:vAlign w:val="center"/>
          </w:tcPr>
          <w:p w14:paraId="1D64A09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按工程施工阶段投入劳动力情况</w:t>
            </w:r>
          </w:p>
        </w:tc>
      </w:tr>
      <w:tr w14:paraId="5AA7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tcPr>
          <w:p w14:paraId="537C5BE2">
            <w:pPr>
              <w:rPr>
                <w:rFonts w:ascii="Arial"/>
              </w:rPr>
            </w:pPr>
          </w:p>
        </w:tc>
        <w:tc>
          <w:tcPr>
            <w:tcW w:w="1303" w:type="dxa"/>
          </w:tcPr>
          <w:p w14:paraId="6F35F97E">
            <w:pPr>
              <w:rPr>
                <w:rFonts w:ascii="Arial"/>
              </w:rPr>
            </w:pPr>
          </w:p>
        </w:tc>
        <w:tc>
          <w:tcPr>
            <w:tcW w:w="1064" w:type="dxa"/>
          </w:tcPr>
          <w:p w14:paraId="2504A6CD">
            <w:pPr>
              <w:rPr>
                <w:rFonts w:ascii="Arial"/>
              </w:rPr>
            </w:pPr>
          </w:p>
        </w:tc>
        <w:tc>
          <w:tcPr>
            <w:tcW w:w="1064" w:type="dxa"/>
          </w:tcPr>
          <w:p w14:paraId="1343FABE">
            <w:pPr>
              <w:rPr>
                <w:rFonts w:ascii="Arial"/>
              </w:rPr>
            </w:pPr>
          </w:p>
        </w:tc>
        <w:tc>
          <w:tcPr>
            <w:tcW w:w="1064" w:type="dxa"/>
          </w:tcPr>
          <w:p w14:paraId="286650A1">
            <w:pPr>
              <w:rPr>
                <w:rFonts w:ascii="Arial"/>
              </w:rPr>
            </w:pPr>
          </w:p>
        </w:tc>
        <w:tc>
          <w:tcPr>
            <w:tcW w:w="1065" w:type="dxa"/>
          </w:tcPr>
          <w:p w14:paraId="13066195">
            <w:pPr>
              <w:rPr>
                <w:rFonts w:ascii="Arial"/>
              </w:rPr>
            </w:pPr>
          </w:p>
        </w:tc>
        <w:tc>
          <w:tcPr>
            <w:tcW w:w="1065" w:type="dxa"/>
          </w:tcPr>
          <w:p w14:paraId="0B015374">
            <w:pPr>
              <w:rPr>
                <w:rFonts w:ascii="Arial"/>
              </w:rPr>
            </w:pPr>
          </w:p>
        </w:tc>
        <w:tc>
          <w:tcPr>
            <w:tcW w:w="1068" w:type="dxa"/>
          </w:tcPr>
          <w:p w14:paraId="5B5624BD">
            <w:pPr>
              <w:rPr>
                <w:rFonts w:ascii="Arial"/>
              </w:rPr>
            </w:pPr>
          </w:p>
        </w:tc>
      </w:tr>
      <w:tr w14:paraId="2198E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tcPr>
          <w:p w14:paraId="7C0913E9">
            <w:pPr>
              <w:rPr>
                <w:rFonts w:ascii="Arial"/>
              </w:rPr>
            </w:pPr>
          </w:p>
        </w:tc>
        <w:tc>
          <w:tcPr>
            <w:tcW w:w="1303" w:type="dxa"/>
          </w:tcPr>
          <w:p w14:paraId="523B4AD1">
            <w:pPr>
              <w:rPr>
                <w:rFonts w:ascii="Arial"/>
              </w:rPr>
            </w:pPr>
          </w:p>
        </w:tc>
        <w:tc>
          <w:tcPr>
            <w:tcW w:w="1064" w:type="dxa"/>
          </w:tcPr>
          <w:p w14:paraId="03E6A22F">
            <w:pPr>
              <w:rPr>
                <w:rFonts w:ascii="Arial"/>
              </w:rPr>
            </w:pPr>
          </w:p>
        </w:tc>
        <w:tc>
          <w:tcPr>
            <w:tcW w:w="1064" w:type="dxa"/>
          </w:tcPr>
          <w:p w14:paraId="3628ADCF">
            <w:pPr>
              <w:rPr>
                <w:rFonts w:ascii="Arial"/>
              </w:rPr>
            </w:pPr>
          </w:p>
        </w:tc>
        <w:tc>
          <w:tcPr>
            <w:tcW w:w="1064" w:type="dxa"/>
          </w:tcPr>
          <w:p w14:paraId="7947CF2D">
            <w:pPr>
              <w:rPr>
                <w:rFonts w:ascii="Arial"/>
              </w:rPr>
            </w:pPr>
          </w:p>
        </w:tc>
        <w:tc>
          <w:tcPr>
            <w:tcW w:w="1065" w:type="dxa"/>
          </w:tcPr>
          <w:p w14:paraId="6B1A9360">
            <w:pPr>
              <w:rPr>
                <w:rFonts w:ascii="Arial"/>
              </w:rPr>
            </w:pPr>
          </w:p>
        </w:tc>
        <w:tc>
          <w:tcPr>
            <w:tcW w:w="1065" w:type="dxa"/>
          </w:tcPr>
          <w:p w14:paraId="51C9197A">
            <w:pPr>
              <w:rPr>
                <w:rFonts w:ascii="Arial"/>
              </w:rPr>
            </w:pPr>
          </w:p>
        </w:tc>
        <w:tc>
          <w:tcPr>
            <w:tcW w:w="1068" w:type="dxa"/>
          </w:tcPr>
          <w:p w14:paraId="09D07011">
            <w:pPr>
              <w:rPr>
                <w:rFonts w:ascii="Arial"/>
              </w:rPr>
            </w:pPr>
          </w:p>
        </w:tc>
      </w:tr>
      <w:tr w14:paraId="2110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tcPr>
          <w:p w14:paraId="5459AB8C">
            <w:pPr>
              <w:rPr>
                <w:rFonts w:ascii="Arial"/>
              </w:rPr>
            </w:pPr>
          </w:p>
        </w:tc>
        <w:tc>
          <w:tcPr>
            <w:tcW w:w="1303" w:type="dxa"/>
          </w:tcPr>
          <w:p w14:paraId="42E561BB">
            <w:pPr>
              <w:rPr>
                <w:rFonts w:ascii="Arial"/>
              </w:rPr>
            </w:pPr>
          </w:p>
        </w:tc>
        <w:tc>
          <w:tcPr>
            <w:tcW w:w="1064" w:type="dxa"/>
          </w:tcPr>
          <w:p w14:paraId="7CCCD006">
            <w:pPr>
              <w:rPr>
                <w:rFonts w:ascii="Arial"/>
              </w:rPr>
            </w:pPr>
          </w:p>
        </w:tc>
        <w:tc>
          <w:tcPr>
            <w:tcW w:w="1064" w:type="dxa"/>
          </w:tcPr>
          <w:p w14:paraId="04C1119E">
            <w:pPr>
              <w:rPr>
                <w:rFonts w:ascii="Arial"/>
              </w:rPr>
            </w:pPr>
          </w:p>
        </w:tc>
        <w:tc>
          <w:tcPr>
            <w:tcW w:w="1064" w:type="dxa"/>
          </w:tcPr>
          <w:p w14:paraId="42C221D1">
            <w:pPr>
              <w:rPr>
                <w:rFonts w:ascii="Arial"/>
              </w:rPr>
            </w:pPr>
          </w:p>
        </w:tc>
        <w:tc>
          <w:tcPr>
            <w:tcW w:w="1065" w:type="dxa"/>
          </w:tcPr>
          <w:p w14:paraId="258976E6">
            <w:pPr>
              <w:rPr>
                <w:rFonts w:ascii="Arial"/>
              </w:rPr>
            </w:pPr>
          </w:p>
        </w:tc>
        <w:tc>
          <w:tcPr>
            <w:tcW w:w="1065" w:type="dxa"/>
          </w:tcPr>
          <w:p w14:paraId="2687A4C6">
            <w:pPr>
              <w:rPr>
                <w:rFonts w:ascii="Arial"/>
              </w:rPr>
            </w:pPr>
          </w:p>
        </w:tc>
        <w:tc>
          <w:tcPr>
            <w:tcW w:w="1068" w:type="dxa"/>
          </w:tcPr>
          <w:p w14:paraId="35768862">
            <w:pPr>
              <w:rPr>
                <w:rFonts w:ascii="Arial"/>
              </w:rPr>
            </w:pPr>
          </w:p>
        </w:tc>
      </w:tr>
      <w:tr w14:paraId="6FC7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tcPr>
          <w:p w14:paraId="42B96B7A">
            <w:pPr>
              <w:rPr>
                <w:rFonts w:ascii="Arial"/>
              </w:rPr>
            </w:pPr>
          </w:p>
        </w:tc>
        <w:tc>
          <w:tcPr>
            <w:tcW w:w="1303" w:type="dxa"/>
          </w:tcPr>
          <w:p w14:paraId="0BC212CD">
            <w:pPr>
              <w:rPr>
                <w:rFonts w:ascii="Arial"/>
              </w:rPr>
            </w:pPr>
          </w:p>
        </w:tc>
        <w:tc>
          <w:tcPr>
            <w:tcW w:w="1064" w:type="dxa"/>
          </w:tcPr>
          <w:p w14:paraId="16D1D1C0">
            <w:pPr>
              <w:rPr>
                <w:rFonts w:ascii="Arial"/>
              </w:rPr>
            </w:pPr>
          </w:p>
        </w:tc>
        <w:tc>
          <w:tcPr>
            <w:tcW w:w="1064" w:type="dxa"/>
          </w:tcPr>
          <w:p w14:paraId="1FDB3F52">
            <w:pPr>
              <w:rPr>
                <w:rFonts w:ascii="Arial"/>
              </w:rPr>
            </w:pPr>
          </w:p>
        </w:tc>
        <w:tc>
          <w:tcPr>
            <w:tcW w:w="1064" w:type="dxa"/>
          </w:tcPr>
          <w:p w14:paraId="1883CE83">
            <w:pPr>
              <w:rPr>
                <w:rFonts w:ascii="Arial"/>
              </w:rPr>
            </w:pPr>
          </w:p>
        </w:tc>
        <w:tc>
          <w:tcPr>
            <w:tcW w:w="1065" w:type="dxa"/>
          </w:tcPr>
          <w:p w14:paraId="1C20D4EF">
            <w:pPr>
              <w:rPr>
                <w:rFonts w:ascii="Arial"/>
              </w:rPr>
            </w:pPr>
          </w:p>
        </w:tc>
        <w:tc>
          <w:tcPr>
            <w:tcW w:w="1065" w:type="dxa"/>
          </w:tcPr>
          <w:p w14:paraId="3D3B14E7">
            <w:pPr>
              <w:rPr>
                <w:rFonts w:ascii="Arial"/>
              </w:rPr>
            </w:pPr>
          </w:p>
        </w:tc>
        <w:tc>
          <w:tcPr>
            <w:tcW w:w="1068" w:type="dxa"/>
          </w:tcPr>
          <w:p w14:paraId="2DDCB49B">
            <w:pPr>
              <w:rPr>
                <w:rFonts w:ascii="Arial"/>
              </w:rPr>
            </w:pPr>
          </w:p>
        </w:tc>
      </w:tr>
      <w:tr w14:paraId="199E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140CAAD0">
            <w:pPr>
              <w:rPr>
                <w:rFonts w:ascii="Arial"/>
              </w:rPr>
            </w:pPr>
          </w:p>
        </w:tc>
        <w:tc>
          <w:tcPr>
            <w:tcW w:w="1303" w:type="dxa"/>
          </w:tcPr>
          <w:p w14:paraId="20DB10E6">
            <w:pPr>
              <w:rPr>
                <w:rFonts w:ascii="Arial"/>
              </w:rPr>
            </w:pPr>
          </w:p>
        </w:tc>
        <w:tc>
          <w:tcPr>
            <w:tcW w:w="1064" w:type="dxa"/>
          </w:tcPr>
          <w:p w14:paraId="31F5A167">
            <w:pPr>
              <w:rPr>
                <w:rFonts w:ascii="Arial"/>
              </w:rPr>
            </w:pPr>
          </w:p>
        </w:tc>
        <w:tc>
          <w:tcPr>
            <w:tcW w:w="1064" w:type="dxa"/>
          </w:tcPr>
          <w:p w14:paraId="03A4D9B6">
            <w:pPr>
              <w:rPr>
                <w:rFonts w:ascii="Arial"/>
              </w:rPr>
            </w:pPr>
          </w:p>
        </w:tc>
        <w:tc>
          <w:tcPr>
            <w:tcW w:w="1064" w:type="dxa"/>
          </w:tcPr>
          <w:p w14:paraId="1F41A831">
            <w:pPr>
              <w:rPr>
                <w:rFonts w:ascii="Arial"/>
              </w:rPr>
            </w:pPr>
          </w:p>
        </w:tc>
        <w:tc>
          <w:tcPr>
            <w:tcW w:w="1065" w:type="dxa"/>
          </w:tcPr>
          <w:p w14:paraId="094BC4D1">
            <w:pPr>
              <w:rPr>
                <w:rFonts w:ascii="Arial"/>
              </w:rPr>
            </w:pPr>
          </w:p>
        </w:tc>
        <w:tc>
          <w:tcPr>
            <w:tcW w:w="1065" w:type="dxa"/>
          </w:tcPr>
          <w:p w14:paraId="5477E489">
            <w:pPr>
              <w:rPr>
                <w:rFonts w:ascii="Arial"/>
              </w:rPr>
            </w:pPr>
          </w:p>
        </w:tc>
        <w:tc>
          <w:tcPr>
            <w:tcW w:w="1068" w:type="dxa"/>
          </w:tcPr>
          <w:p w14:paraId="0CA65F19">
            <w:pPr>
              <w:rPr>
                <w:rFonts w:ascii="Arial"/>
              </w:rPr>
            </w:pPr>
          </w:p>
        </w:tc>
      </w:tr>
      <w:tr w14:paraId="551F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1603839A">
            <w:pPr>
              <w:rPr>
                <w:rFonts w:ascii="Arial"/>
              </w:rPr>
            </w:pPr>
          </w:p>
        </w:tc>
        <w:tc>
          <w:tcPr>
            <w:tcW w:w="1303" w:type="dxa"/>
          </w:tcPr>
          <w:p w14:paraId="47EF8210">
            <w:pPr>
              <w:rPr>
                <w:rFonts w:ascii="Arial"/>
              </w:rPr>
            </w:pPr>
          </w:p>
        </w:tc>
        <w:tc>
          <w:tcPr>
            <w:tcW w:w="1064" w:type="dxa"/>
          </w:tcPr>
          <w:p w14:paraId="22767244">
            <w:pPr>
              <w:rPr>
                <w:rFonts w:ascii="Arial"/>
              </w:rPr>
            </w:pPr>
          </w:p>
        </w:tc>
        <w:tc>
          <w:tcPr>
            <w:tcW w:w="1064" w:type="dxa"/>
          </w:tcPr>
          <w:p w14:paraId="787D35CF">
            <w:pPr>
              <w:rPr>
                <w:rFonts w:ascii="Arial"/>
              </w:rPr>
            </w:pPr>
          </w:p>
        </w:tc>
        <w:tc>
          <w:tcPr>
            <w:tcW w:w="1064" w:type="dxa"/>
          </w:tcPr>
          <w:p w14:paraId="43FF1432">
            <w:pPr>
              <w:rPr>
                <w:rFonts w:ascii="Arial"/>
              </w:rPr>
            </w:pPr>
          </w:p>
        </w:tc>
        <w:tc>
          <w:tcPr>
            <w:tcW w:w="1065" w:type="dxa"/>
          </w:tcPr>
          <w:p w14:paraId="0C71C501">
            <w:pPr>
              <w:rPr>
                <w:rFonts w:ascii="Arial"/>
              </w:rPr>
            </w:pPr>
          </w:p>
        </w:tc>
        <w:tc>
          <w:tcPr>
            <w:tcW w:w="1065" w:type="dxa"/>
          </w:tcPr>
          <w:p w14:paraId="701AFA4F">
            <w:pPr>
              <w:rPr>
                <w:rFonts w:ascii="Arial"/>
              </w:rPr>
            </w:pPr>
          </w:p>
        </w:tc>
        <w:tc>
          <w:tcPr>
            <w:tcW w:w="1068" w:type="dxa"/>
          </w:tcPr>
          <w:p w14:paraId="698F8C5E">
            <w:pPr>
              <w:rPr>
                <w:rFonts w:ascii="Arial"/>
              </w:rPr>
            </w:pPr>
          </w:p>
        </w:tc>
      </w:tr>
      <w:tr w14:paraId="51B9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34F0250A">
            <w:pPr>
              <w:rPr>
                <w:rFonts w:ascii="Arial"/>
              </w:rPr>
            </w:pPr>
          </w:p>
        </w:tc>
        <w:tc>
          <w:tcPr>
            <w:tcW w:w="1303" w:type="dxa"/>
          </w:tcPr>
          <w:p w14:paraId="2F3D4F1B">
            <w:pPr>
              <w:rPr>
                <w:rFonts w:ascii="Arial"/>
              </w:rPr>
            </w:pPr>
          </w:p>
        </w:tc>
        <w:tc>
          <w:tcPr>
            <w:tcW w:w="1064" w:type="dxa"/>
          </w:tcPr>
          <w:p w14:paraId="77B20D6C">
            <w:pPr>
              <w:rPr>
                <w:rFonts w:ascii="Arial"/>
              </w:rPr>
            </w:pPr>
          </w:p>
        </w:tc>
        <w:tc>
          <w:tcPr>
            <w:tcW w:w="1064" w:type="dxa"/>
          </w:tcPr>
          <w:p w14:paraId="1A52BD9C">
            <w:pPr>
              <w:rPr>
                <w:rFonts w:ascii="Arial"/>
              </w:rPr>
            </w:pPr>
          </w:p>
        </w:tc>
        <w:tc>
          <w:tcPr>
            <w:tcW w:w="1064" w:type="dxa"/>
          </w:tcPr>
          <w:p w14:paraId="7ADC3E83">
            <w:pPr>
              <w:rPr>
                <w:rFonts w:ascii="Arial"/>
              </w:rPr>
            </w:pPr>
          </w:p>
        </w:tc>
        <w:tc>
          <w:tcPr>
            <w:tcW w:w="1065" w:type="dxa"/>
          </w:tcPr>
          <w:p w14:paraId="2A28BD82">
            <w:pPr>
              <w:rPr>
                <w:rFonts w:ascii="Arial"/>
              </w:rPr>
            </w:pPr>
          </w:p>
        </w:tc>
        <w:tc>
          <w:tcPr>
            <w:tcW w:w="1065" w:type="dxa"/>
          </w:tcPr>
          <w:p w14:paraId="5680BB9E">
            <w:pPr>
              <w:rPr>
                <w:rFonts w:ascii="Arial"/>
              </w:rPr>
            </w:pPr>
          </w:p>
        </w:tc>
        <w:tc>
          <w:tcPr>
            <w:tcW w:w="1068" w:type="dxa"/>
          </w:tcPr>
          <w:p w14:paraId="390FD21B">
            <w:pPr>
              <w:rPr>
                <w:rFonts w:ascii="Arial"/>
              </w:rPr>
            </w:pPr>
          </w:p>
        </w:tc>
      </w:tr>
      <w:tr w14:paraId="63329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5B62EE49">
            <w:pPr>
              <w:rPr>
                <w:rFonts w:ascii="Arial"/>
              </w:rPr>
            </w:pPr>
          </w:p>
        </w:tc>
        <w:tc>
          <w:tcPr>
            <w:tcW w:w="1303" w:type="dxa"/>
          </w:tcPr>
          <w:p w14:paraId="6F582A82">
            <w:pPr>
              <w:rPr>
                <w:rFonts w:ascii="Arial"/>
              </w:rPr>
            </w:pPr>
          </w:p>
        </w:tc>
        <w:tc>
          <w:tcPr>
            <w:tcW w:w="1064" w:type="dxa"/>
          </w:tcPr>
          <w:p w14:paraId="73C5BFA7">
            <w:pPr>
              <w:rPr>
                <w:rFonts w:ascii="Arial"/>
              </w:rPr>
            </w:pPr>
          </w:p>
        </w:tc>
        <w:tc>
          <w:tcPr>
            <w:tcW w:w="1064" w:type="dxa"/>
          </w:tcPr>
          <w:p w14:paraId="6E533EDB">
            <w:pPr>
              <w:rPr>
                <w:rFonts w:ascii="Arial"/>
              </w:rPr>
            </w:pPr>
          </w:p>
        </w:tc>
        <w:tc>
          <w:tcPr>
            <w:tcW w:w="1064" w:type="dxa"/>
          </w:tcPr>
          <w:p w14:paraId="4036D238">
            <w:pPr>
              <w:rPr>
                <w:rFonts w:ascii="Arial"/>
              </w:rPr>
            </w:pPr>
          </w:p>
        </w:tc>
        <w:tc>
          <w:tcPr>
            <w:tcW w:w="1065" w:type="dxa"/>
          </w:tcPr>
          <w:p w14:paraId="720D2424">
            <w:pPr>
              <w:rPr>
                <w:rFonts w:ascii="Arial"/>
              </w:rPr>
            </w:pPr>
          </w:p>
        </w:tc>
        <w:tc>
          <w:tcPr>
            <w:tcW w:w="1065" w:type="dxa"/>
          </w:tcPr>
          <w:p w14:paraId="2F859A82">
            <w:pPr>
              <w:rPr>
                <w:rFonts w:ascii="Arial"/>
              </w:rPr>
            </w:pPr>
          </w:p>
        </w:tc>
        <w:tc>
          <w:tcPr>
            <w:tcW w:w="1068" w:type="dxa"/>
          </w:tcPr>
          <w:p w14:paraId="71989A55">
            <w:pPr>
              <w:rPr>
                <w:rFonts w:ascii="Arial"/>
              </w:rPr>
            </w:pPr>
          </w:p>
        </w:tc>
      </w:tr>
      <w:tr w14:paraId="3D16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56D95C18">
            <w:pPr>
              <w:rPr>
                <w:rFonts w:ascii="Arial"/>
              </w:rPr>
            </w:pPr>
          </w:p>
        </w:tc>
        <w:tc>
          <w:tcPr>
            <w:tcW w:w="1303" w:type="dxa"/>
          </w:tcPr>
          <w:p w14:paraId="74DB7E75">
            <w:pPr>
              <w:rPr>
                <w:rFonts w:ascii="Arial"/>
              </w:rPr>
            </w:pPr>
          </w:p>
        </w:tc>
        <w:tc>
          <w:tcPr>
            <w:tcW w:w="1064" w:type="dxa"/>
          </w:tcPr>
          <w:p w14:paraId="2EE7F5BD">
            <w:pPr>
              <w:rPr>
                <w:rFonts w:ascii="Arial"/>
              </w:rPr>
            </w:pPr>
          </w:p>
        </w:tc>
        <w:tc>
          <w:tcPr>
            <w:tcW w:w="1064" w:type="dxa"/>
          </w:tcPr>
          <w:p w14:paraId="5A031E38">
            <w:pPr>
              <w:rPr>
                <w:rFonts w:ascii="Arial"/>
              </w:rPr>
            </w:pPr>
          </w:p>
        </w:tc>
        <w:tc>
          <w:tcPr>
            <w:tcW w:w="1064" w:type="dxa"/>
          </w:tcPr>
          <w:p w14:paraId="20CE50E6">
            <w:pPr>
              <w:rPr>
                <w:rFonts w:ascii="Arial"/>
              </w:rPr>
            </w:pPr>
          </w:p>
        </w:tc>
        <w:tc>
          <w:tcPr>
            <w:tcW w:w="1065" w:type="dxa"/>
          </w:tcPr>
          <w:p w14:paraId="7CDF9EBF">
            <w:pPr>
              <w:rPr>
                <w:rFonts w:ascii="Arial"/>
              </w:rPr>
            </w:pPr>
          </w:p>
        </w:tc>
        <w:tc>
          <w:tcPr>
            <w:tcW w:w="1065" w:type="dxa"/>
          </w:tcPr>
          <w:p w14:paraId="650E0B1F">
            <w:pPr>
              <w:rPr>
                <w:rFonts w:ascii="Arial"/>
              </w:rPr>
            </w:pPr>
          </w:p>
        </w:tc>
        <w:tc>
          <w:tcPr>
            <w:tcW w:w="1068" w:type="dxa"/>
          </w:tcPr>
          <w:p w14:paraId="10F79851">
            <w:pPr>
              <w:rPr>
                <w:rFonts w:ascii="Arial"/>
              </w:rPr>
            </w:pPr>
          </w:p>
        </w:tc>
      </w:tr>
      <w:tr w14:paraId="2961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4EC38E0E">
            <w:pPr>
              <w:rPr>
                <w:rFonts w:ascii="Arial"/>
              </w:rPr>
            </w:pPr>
          </w:p>
        </w:tc>
        <w:tc>
          <w:tcPr>
            <w:tcW w:w="1303" w:type="dxa"/>
          </w:tcPr>
          <w:p w14:paraId="05FDFFDB">
            <w:pPr>
              <w:rPr>
                <w:rFonts w:ascii="Arial"/>
              </w:rPr>
            </w:pPr>
          </w:p>
        </w:tc>
        <w:tc>
          <w:tcPr>
            <w:tcW w:w="1064" w:type="dxa"/>
          </w:tcPr>
          <w:p w14:paraId="7EB68B21">
            <w:pPr>
              <w:rPr>
                <w:rFonts w:ascii="Arial"/>
              </w:rPr>
            </w:pPr>
          </w:p>
        </w:tc>
        <w:tc>
          <w:tcPr>
            <w:tcW w:w="1064" w:type="dxa"/>
          </w:tcPr>
          <w:p w14:paraId="2F31C997">
            <w:pPr>
              <w:rPr>
                <w:rFonts w:ascii="Arial"/>
              </w:rPr>
            </w:pPr>
          </w:p>
        </w:tc>
        <w:tc>
          <w:tcPr>
            <w:tcW w:w="1064" w:type="dxa"/>
          </w:tcPr>
          <w:p w14:paraId="3A4A5C41">
            <w:pPr>
              <w:rPr>
                <w:rFonts w:ascii="Arial"/>
              </w:rPr>
            </w:pPr>
          </w:p>
        </w:tc>
        <w:tc>
          <w:tcPr>
            <w:tcW w:w="1065" w:type="dxa"/>
          </w:tcPr>
          <w:p w14:paraId="68857B40">
            <w:pPr>
              <w:rPr>
                <w:rFonts w:ascii="Arial"/>
              </w:rPr>
            </w:pPr>
          </w:p>
        </w:tc>
        <w:tc>
          <w:tcPr>
            <w:tcW w:w="1065" w:type="dxa"/>
          </w:tcPr>
          <w:p w14:paraId="093BDC87">
            <w:pPr>
              <w:rPr>
                <w:rFonts w:ascii="Arial"/>
              </w:rPr>
            </w:pPr>
          </w:p>
        </w:tc>
        <w:tc>
          <w:tcPr>
            <w:tcW w:w="1068" w:type="dxa"/>
          </w:tcPr>
          <w:p w14:paraId="1F5A92CE">
            <w:pPr>
              <w:rPr>
                <w:rFonts w:ascii="Arial"/>
              </w:rPr>
            </w:pPr>
          </w:p>
        </w:tc>
      </w:tr>
      <w:tr w14:paraId="36278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0F4CCB2C">
            <w:pPr>
              <w:rPr>
                <w:rFonts w:ascii="Arial"/>
              </w:rPr>
            </w:pPr>
          </w:p>
        </w:tc>
        <w:tc>
          <w:tcPr>
            <w:tcW w:w="1303" w:type="dxa"/>
          </w:tcPr>
          <w:p w14:paraId="0D034EC1">
            <w:pPr>
              <w:rPr>
                <w:rFonts w:ascii="Arial"/>
              </w:rPr>
            </w:pPr>
          </w:p>
        </w:tc>
        <w:tc>
          <w:tcPr>
            <w:tcW w:w="1064" w:type="dxa"/>
          </w:tcPr>
          <w:p w14:paraId="2EA5AA98">
            <w:pPr>
              <w:rPr>
                <w:rFonts w:ascii="Arial"/>
              </w:rPr>
            </w:pPr>
          </w:p>
        </w:tc>
        <w:tc>
          <w:tcPr>
            <w:tcW w:w="1064" w:type="dxa"/>
          </w:tcPr>
          <w:p w14:paraId="7F53157B">
            <w:pPr>
              <w:rPr>
                <w:rFonts w:ascii="Arial"/>
              </w:rPr>
            </w:pPr>
          </w:p>
        </w:tc>
        <w:tc>
          <w:tcPr>
            <w:tcW w:w="1064" w:type="dxa"/>
          </w:tcPr>
          <w:p w14:paraId="15AD3983">
            <w:pPr>
              <w:rPr>
                <w:rFonts w:ascii="Arial"/>
              </w:rPr>
            </w:pPr>
          </w:p>
        </w:tc>
        <w:tc>
          <w:tcPr>
            <w:tcW w:w="1065" w:type="dxa"/>
          </w:tcPr>
          <w:p w14:paraId="110F8AEB">
            <w:pPr>
              <w:rPr>
                <w:rFonts w:ascii="Arial"/>
              </w:rPr>
            </w:pPr>
          </w:p>
        </w:tc>
        <w:tc>
          <w:tcPr>
            <w:tcW w:w="1065" w:type="dxa"/>
          </w:tcPr>
          <w:p w14:paraId="24C1C7AE">
            <w:pPr>
              <w:rPr>
                <w:rFonts w:ascii="Arial"/>
              </w:rPr>
            </w:pPr>
          </w:p>
        </w:tc>
        <w:tc>
          <w:tcPr>
            <w:tcW w:w="1068" w:type="dxa"/>
          </w:tcPr>
          <w:p w14:paraId="4D3B87CF">
            <w:pPr>
              <w:rPr>
                <w:rFonts w:ascii="Arial"/>
              </w:rPr>
            </w:pPr>
          </w:p>
        </w:tc>
      </w:tr>
      <w:tr w14:paraId="6D00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4A0FD986">
            <w:pPr>
              <w:rPr>
                <w:rFonts w:ascii="Arial"/>
              </w:rPr>
            </w:pPr>
          </w:p>
        </w:tc>
        <w:tc>
          <w:tcPr>
            <w:tcW w:w="1303" w:type="dxa"/>
          </w:tcPr>
          <w:p w14:paraId="1FCC678D">
            <w:pPr>
              <w:rPr>
                <w:rFonts w:ascii="Arial"/>
              </w:rPr>
            </w:pPr>
          </w:p>
        </w:tc>
        <w:tc>
          <w:tcPr>
            <w:tcW w:w="1064" w:type="dxa"/>
          </w:tcPr>
          <w:p w14:paraId="389B3EED">
            <w:pPr>
              <w:rPr>
                <w:rFonts w:ascii="Arial"/>
              </w:rPr>
            </w:pPr>
          </w:p>
        </w:tc>
        <w:tc>
          <w:tcPr>
            <w:tcW w:w="1064" w:type="dxa"/>
          </w:tcPr>
          <w:p w14:paraId="039FBF27">
            <w:pPr>
              <w:rPr>
                <w:rFonts w:ascii="Arial"/>
              </w:rPr>
            </w:pPr>
          </w:p>
        </w:tc>
        <w:tc>
          <w:tcPr>
            <w:tcW w:w="1064" w:type="dxa"/>
          </w:tcPr>
          <w:p w14:paraId="422CC41D">
            <w:pPr>
              <w:rPr>
                <w:rFonts w:ascii="Arial"/>
              </w:rPr>
            </w:pPr>
          </w:p>
        </w:tc>
        <w:tc>
          <w:tcPr>
            <w:tcW w:w="1065" w:type="dxa"/>
          </w:tcPr>
          <w:p w14:paraId="0395F70F">
            <w:pPr>
              <w:rPr>
                <w:rFonts w:ascii="Arial"/>
              </w:rPr>
            </w:pPr>
          </w:p>
        </w:tc>
        <w:tc>
          <w:tcPr>
            <w:tcW w:w="1065" w:type="dxa"/>
          </w:tcPr>
          <w:p w14:paraId="04485F9C">
            <w:pPr>
              <w:rPr>
                <w:rFonts w:ascii="Arial"/>
              </w:rPr>
            </w:pPr>
          </w:p>
        </w:tc>
        <w:tc>
          <w:tcPr>
            <w:tcW w:w="1068" w:type="dxa"/>
          </w:tcPr>
          <w:p w14:paraId="60F12BD8">
            <w:pPr>
              <w:rPr>
                <w:rFonts w:ascii="Arial"/>
              </w:rPr>
            </w:pPr>
          </w:p>
        </w:tc>
      </w:tr>
      <w:tr w14:paraId="2E002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0D425439">
            <w:pPr>
              <w:rPr>
                <w:rFonts w:ascii="Arial"/>
              </w:rPr>
            </w:pPr>
          </w:p>
        </w:tc>
        <w:tc>
          <w:tcPr>
            <w:tcW w:w="1303" w:type="dxa"/>
          </w:tcPr>
          <w:p w14:paraId="5D31550B">
            <w:pPr>
              <w:rPr>
                <w:rFonts w:ascii="Arial"/>
              </w:rPr>
            </w:pPr>
          </w:p>
        </w:tc>
        <w:tc>
          <w:tcPr>
            <w:tcW w:w="1064" w:type="dxa"/>
          </w:tcPr>
          <w:p w14:paraId="7DEC921C">
            <w:pPr>
              <w:rPr>
                <w:rFonts w:ascii="Arial"/>
              </w:rPr>
            </w:pPr>
          </w:p>
        </w:tc>
        <w:tc>
          <w:tcPr>
            <w:tcW w:w="1064" w:type="dxa"/>
          </w:tcPr>
          <w:p w14:paraId="430227E2">
            <w:pPr>
              <w:rPr>
                <w:rFonts w:ascii="Arial"/>
              </w:rPr>
            </w:pPr>
          </w:p>
        </w:tc>
        <w:tc>
          <w:tcPr>
            <w:tcW w:w="1064" w:type="dxa"/>
          </w:tcPr>
          <w:p w14:paraId="42811F0C">
            <w:pPr>
              <w:rPr>
                <w:rFonts w:ascii="Arial"/>
              </w:rPr>
            </w:pPr>
          </w:p>
        </w:tc>
        <w:tc>
          <w:tcPr>
            <w:tcW w:w="1065" w:type="dxa"/>
          </w:tcPr>
          <w:p w14:paraId="27F025E9">
            <w:pPr>
              <w:rPr>
                <w:rFonts w:ascii="Arial"/>
              </w:rPr>
            </w:pPr>
          </w:p>
        </w:tc>
        <w:tc>
          <w:tcPr>
            <w:tcW w:w="1065" w:type="dxa"/>
          </w:tcPr>
          <w:p w14:paraId="03127922">
            <w:pPr>
              <w:rPr>
                <w:rFonts w:ascii="Arial"/>
              </w:rPr>
            </w:pPr>
          </w:p>
        </w:tc>
        <w:tc>
          <w:tcPr>
            <w:tcW w:w="1068" w:type="dxa"/>
          </w:tcPr>
          <w:p w14:paraId="023A457D">
            <w:pPr>
              <w:rPr>
                <w:rFonts w:ascii="Arial"/>
              </w:rPr>
            </w:pPr>
          </w:p>
        </w:tc>
      </w:tr>
      <w:tr w14:paraId="16F9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6519404C">
            <w:pPr>
              <w:rPr>
                <w:rFonts w:ascii="Arial"/>
              </w:rPr>
            </w:pPr>
          </w:p>
        </w:tc>
        <w:tc>
          <w:tcPr>
            <w:tcW w:w="1303" w:type="dxa"/>
          </w:tcPr>
          <w:p w14:paraId="180A9E6E">
            <w:pPr>
              <w:rPr>
                <w:rFonts w:ascii="Arial"/>
              </w:rPr>
            </w:pPr>
          </w:p>
        </w:tc>
        <w:tc>
          <w:tcPr>
            <w:tcW w:w="1064" w:type="dxa"/>
          </w:tcPr>
          <w:p w14:paraId="15251B8D">
            <w:pPr>
              <w:rPr>
                <w:rFonts w:ascii="Arial"/>
              </w:rPr>
            </w:pPr>
          </w:p>
        </w:tc>
        <w:tc>
          <w:tcPr>
            <w:tcW w:w="1064" w:type="dxa"/>
          </w:tcPr>
          <w:p w14:paraId="6D87C838">
            <w:pPr>
              <w:rPr>
                <w:rFonts w:ascii="Arial"/>
              </w:rPr>
            </w:pPr>
          </w:p>
        </w:tc>
        <w:tc>
          <w:tcPr>
            <w:tcW w:w="1064" w:type="dxa"/>
          </w:tcPr>
          <w:p w14:paraId="005B80B5">
            <w:pPr>
              <w:rPr>
                <w:rFonts w:ascii="Arial"/>
              </w:rPr>
            </w:pPr>
          </w:p>
        </w:tc>
        <w:tc>
          <w:tcPr>
            <w:tcW w:w="1065" w:type="dxa"/>
          </w:tcPr>
          <w:p w14:paraId="3A10E9CE">
            <w:pPr>
              <w:rPr>
                <w:rFonts w:ascii="Arial"/>
              </w:rPr>
            </w:pPr>
          </w:p>
        </w:tc>
        <w:tc>
          <w:tcPr>
            <w:tcW w:w="1065" w:type="dxa"/>
          </w:tcPr>
          <w:p w14:paraId="1C888452">
            <w:pPr>
              <w:rPr>
                <w:rFonts w:ascii="Arial"/>
              </w:rPr>
            </w:pPr>
          </w:p>
        </w:tc>
        <w:tc>
          <w:tcPr>
            <w:tcW w:w="1068" w:type="dxa"/>
          </w:tcPr>
          <w:p w14:paraId="624BBFAA">
            <w:pPr>
              <w:rPr>
                <w:rFonts w:ascii="Arial"/>
              </w:rPr>
            </w:pPr>
          </w:p>
        </w:tc>
      </w:tr>
      <w:tr w14:paraId="5D03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1977B77E">
            <w:pPr>
              <w:rPr>
                <w:rFonts w:ascii="Arial"/>
              </w:rPr>
            </w:pPr>
          </w:p>
        </w:tc>
        <w:tc>
          <w:tcPr>
            <w:tcW w:w="1303" w:type="dxa"/>
          </w:tcPr>
          <w:p w14:paraId="40D8329A">
            <w:pPr>
              <w:rPr>
                <w:rFonts w:ascii="Arial"/>
              </w:rPr>
            </w:pPr>
          </w:p>
        </w:tc>
        <w:tc>
          <w:tcPr>
            <w:tcW w:w="1064" w:type="dxa"/>
          </w:tcPr>
          <w:p w14:paraId="1AF80982">
            <w:pPr>
              <w:rPr>
                <w:rFonts w:ascii="Arial"/>
              </w:rPr>
            </w:pPr>
          </w:p>
        </w:tc>
        <w:tc>
          <w:tcPr>
            <w:tcW w:w="1064" w:type="dxa"/>
          </w:tcPr>
          <w:p w14:paraId="7E302558">
            <w:pPr>
              <w:rPr>
                <w:rFonts w:ascii="Arial"/>
              </w:rPr>
            </w:pPr>
          </w:p>
        </w:tc>
        <w:tc>
          <w:tcPr>
            <w:tcW w:w="1064" w:type="dxa"/>
          </w:tcPr>
          <w:p w14:paraId="79A5575E">
            <w:pPr>
              <w:rPr>
                <w:rFonts w:ascii="Arial"/>
              </w:rPr>
            </w:pPr>
          </w:p>
        </w:tc>
        <w:tc>
          <w:tcPr>
            <w:tcW w:w="1065" w:type="dxa"/>
          </w:tcPr>
          <w:p w14:paraId="4BE11B02">
            <w:pPr>
              <w:rPr>
                <w:rFonts w:ascii="Arial"/>
              </w:rPr>
            </w:pPr>
          </w:p>
        </w:tc>
        <w:tc>
          <w:tcPr>
            <w:tcW w:w="1065" w:type="dxa"/>
          </w:tcPr>
          <w:p w14:paraId="7AD4A98C">
            <w:pPr>
              <w:rPr>
                <w:rFonts w:ascii="Arial"/>
              </w:rPr>
            </w:pPr>
          </w:p>
        </w:tc>
        <w:tc>
          <w:tcPr>
            <w:tcW w:w="1068" w:type="dxa"/>
          </w:tcPr>
          <w:p w14:paraId="15E39021">
            <w:pPr>
              <w:rPr>
                <w:rFonts w:ascii="Arial"/>
              </w:rPr>
            </w:pPr>
          </w:p>
        </w:tc>
      </w:tr>
      <w:tr w14:paraId="566C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3D52BE76">
            <w:pPr>
              <w:rPr>
                <w:rFonts w:ascii="Arial"/>
              </w:rPr>
            </w:pPr>
          </w:p>
        </w:tc>
        <w:tc>
          <w:tcPr>
            <w:tcW w:w="1303" w:type="dxa"/>
          </w:tcPr>
          <w:p w14:paraId="711782FA">
            <w:pPr>
              <w:rPr>
                <w:rFonts w:ascii="Arial"/>
              </w:rPr>
            </w:pPr>
          </w:p>
        </w:tc>
        <w:tc>
          <w:tcPr>
            <w:tcW w:w="1064" w:type="dxa"/>
          </w:tcPr>
          <w:p w14:paraId="24538EB7">
            <w:pPr>
              <w:rPr>
                <w:rFonts w:ascii="Arial"/>
              </w:rPr>
            </w:pPr>
          </w:p>
        </w:tc>
        <w:tc>
          <w:tcPr>
            <w:tcW w:w="1064" w:type="dxa"/>
          </w:tcPr>
          <w:p w14:paraId="79A981F0">
            <w:pPr>
              <w:rPr>
                <w:rFonts w:ascii="Arial"/>
              </w:rPr>
            </w:pPr>
          </w:p>
        </w:tc>
        <w:tc>
          <w:tcPr>
            <w:tcW w:w="1064" w:type="dxa"/>
          </w:tcPr>
          <w:p w14:paraId="5B4AE901">
            <w:pPr>
              <w:rPr>
                <w:rFonts w:ascii="Arial"/>
              </w:rPr>
            </w:pPr>
          </w:p>
        </w:tc>
        <w:tc>
          <w:tcPr>
            <w:tcW w:w="1065" w:type="dxa"/>
          </w:tcPr>
          <w:p w14:paraId="5B57DA4E">
            <w:pPr>
              <w:rPr>
                <w:rFonts w:ascii="Arial"/>
              </w:rPr>
            </w:pPr>
          </w:p>
        </w:tc>
        <w:tc>
          <w:tcPr>
            <w:tcW w:w="1065" w:type="dxa"/>
          </w:tcPr>
          <w:p w14:paraId="1586475A">
            <w:pPr>
              <w:rPr>
                <w:rFonts w:ascii="Arial"/>
              </w:rPr>
            </w:pPr>
          </w:p>
        </w:tc>
        <w:tc>
          <w:tcPr>
            <w:tcW w:w="1068" w:type="dxa"/>
          </w:tcPr>
          <w:p w14:paraId="66DE5167">
            <w:pPr>
              <w:rPr>
                <w:rFonts w:ascii="Arial"/>
              </w:rPr>
            </w:pPr>
          </w:p>
        </w:tc>
      </w:tr>
      <w:tr w14:paraId="4177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595FD650">
            <w:pPr>
              <w:rPr>
                <w:rFonts w:ascii="Arial"/>
              </w:rPr>
            </w:pPr>
          </w:p>
        </w:tc>
        <w:tc>
          <w:tcPr>
            <w:tcW w:w="1303" w:type="dxa"/>
          </w:tcPr>
          <w:p w14:paraId="16A5E79E">
            <w:pPr>
              <w:rPr>
                <w:rFonts w:ascii="Arial"/>
              </w:rPr>
            </w:pPr>
          </w:p>
        </w:tc>
        <w:tc>
          <w:tcPr>
            <w:tcW w:w="1064" w:type="dxa"/>
          </w:tcPr>
          <w:p w14:paraId="7D6A963B">
            <w:pPr>
              <w:rPr>
                <w:rFonts w:ascii="Arial"/>
              </w:rPr>
            </w:pPr>
          </w:p>
        </w:tc>
        <w:tc>
          <w:tcPr>
            <w:tcW w:w="1064" w:type="dxa"/>
          </w:tcPr>
          <w:p w14:paraId="0E346119">
            <w:pPr>
              <w:rPr>
                <w:rFonts w:ascii="Arial"/>
              </w:rPr>
            </w:pPr>
          </w:p>
        </w:tc>
        <w:tc>
          <w:tcPr>
            <w:tcW w:w="1064" w:type="dxa"/>
          </w:tcPr>
          <w:p w14:paraId="36FDE81C">
            <w:pPr>
              <w:rPr>
                <w:rFonts w:ascii="Arial"/>
              </w:rPr>
            </w:pPr>
          </w:p>
        </w:tc>
        <w:tc>
          <w:tcPr>
            <w:tcW w:w="1065" w:type="dxa"/>
          </w:tcPr>
          <w:p w14:paraId="6A5E5875">
            <w:pPr>
              <w:rPr>
                <w:rFonts w:ascii="Arial"/>
              </w:rPr>
            </w:pPr>
          </w:p>
        </w:tc>
        <w:tc>
          <w:tcPr>
            <w:tcW w:w="1065" w:type="dxa"/>
          </w:tcPr>
          <w:p w14:paraId="60621290">
            <w:pPr>
              <w:rPr>
                <w:rFonts w:ascii="Arial"/>
              </w:rPr>
            </w:pPr>
          </w:p>
        </w:tc>
        <w:tc>
          <w:tcPr>
            <w:tcW w:w="1068" w:type="dxa"/>
          </w:tcPr>
          <w:p w14:paraId="58D1AF6A">
            <w:pPr>
              <w:rPr>
                <w:rFonts w:ascii="Arial"/>
              </w:rPr>
            </w:pPr>
          </w:p>
        </w:tc>
      </w:tr>
      <w:tr w14:paraId="0BB76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68E6D694">
            <w:pPr>
              <w:rPr>
                <w:rFonts w:ascii="Arial"/>
              </w:rPr>
            </w:pPr>
          </w:p>
        </w:tc>
        <w:tc>
          <w:tcPr>
            <w:tcW w:w="1303" w:type="dxa"/>
          </w:tcPr>
          <w:p w14:paraId="230F75EC">
            <w:pPr>
              <w:rPr>
                <w:rFonts w:ascii="Arial"/>
              </w:rPr>
            </w:pPr>
          </w:p>
        </w:tc>
        <w:tc>
          <w:tcPr>
            <w:tcW w:w="1064" w:type="dxa"/>
          </w:tcPr>
          <w:p w14:paraId="22B2C74F">
            <w:pPr>
              <w:rPr>
                <w:rFonts w:ascii="Arial"/>
              </w:rPr>
            </w:pPr>
          </w:p>
        </w:tc>
        <w:tc>
          <w:tcPr>
            <w:tcW w:w="1064" w:type="dxa"/>
          </w:tcPr>
          <w:p w14:paraId="7BA34C39">
            <w:pPr>
              <w:rPr>
                <w:rFonts w:ascii="Arial"/>
              </w:rPr>
            </w:pPr>
          </w:p>
        </w:tc>
        <w:tc>
          <w:tcPr>
            <w:tcW w:w="1064" w:type="dxa"/>
          </w:tcPr>
          <w:p w14:paraId="3B72C874">
            <w:pPr>
              <w:rPr>
                <w:rFonts w:ascii="Arial"/>
              </w:rPr>
            </w:pPr>
          </w:p>
        </w:tc>
        <w:tc>
          <w:tcPr>
            <w:tcW w:w="1065" w:type="dxa"/>
          </w:tcPr>
          <w:p w14:paraId="48BFB407">
            <w:pPr>
              <w:rPr>
                <w:rFonts w:ascii="Arial"/>
              </w:rPr>
            </w:pPr>
          </w:p>
        </w:tc>
        <w:tc>
          <w:tcPr>
            <w:tcW w:w="1065" w:type="dxa"/>
          </w:tcPr>
          <w:p w14:paraId="221DBEC3">
            <w:pPr>
              <w:rPr>
                <w:rFonts w:ascii="Arial"/>
              </w:rPr>
            </w:pPr>
          </w:p>
        </w:tc>
        <w:tc>
          <w:tcPr>
            <w:tcW w:w="1068" w:type="dxa"/>
          </w:tcPr>
          <w:p w14:paraId="58E7FA4B">
            <w:pPr>
              <w:rPr>
                <w:rFonts w:ascii="Arial"/>
              </w:rPr>
            </w:pPr>
          </w:p>
        </w:tc>
      </w:tr>
      <w:tr w14:paraId="62F3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15557804">
            <w:pPr>
              <w:rPr>
                <w:rFonts w:ascii="Arial"/>
              </w:rPr>
            </w:pPr>
          </w:p>
        </w:tc>
        <w:tc>
          <w:tcPr>
            <w:tcW w:w="1303" w:type="dxa"/>
          </w:tcPr>
          <w:p w14:paraId="475268A6">
            <w:pPr>
              <w:rPr>
                <w:rFonts w:ascii="Arial"/>
              </w:rPr>
            </w:pPr>
          </w:p>
        </w:tc>
        <w:tc>
          <w:tcPr>
            <w:tcW w:w="1064" w:type="dxa"/>
          </w:tcPr>
          <w:p w14:paraId="1F89AC82">
            <w:pPr>
              <w:rPr>
                <w:rFonts w:ascii="Arial"/>
              </w:rPr>
            </w:pPr>
          </w:p>
        </w:tc>
        <w:tc>
          <w:tcPr>
            <w:tcW w:w="1064" w:type="dxa"/>
          </w:tcPr>
          <w:p w14:paraId="28EA1612">
            <w:pPr>
              <w:rPr>
                <w:rFonts w:ascii="Arial"/>
              </w:rPr>
            </w:pPr>
          </w:p>
        </w:tc>
        <w:tc>
          <w:tcPr>
            <w:tcW w:w="1064" w:type="dxa"/>
          </w:tcPr>
          <w:p w14:paraId="78A410F9">
            <w:pPr>
              <w:rPr>
                <w:rFonts w:ascii="Arial"/>
              </w:rPr>
            </w:pPr>
          </w:p>
        </w:tc>
        <w:tc>
          <w:tcPr>
            <w:tcW w:w="1065" w:type="dxa"/>
          </w:tcPr>
          <w:p w14:paraId="00F58C1D">
            <w:pPr>
              <w:rPr>
                <w:rFonts w:ascii="Arial"/>
              </w:rPr>
            </w:pPr>
          </w:p>
        </w:tc>
        <w:tc>
          <w:tcPr>
            <w:tcW w:w="1065" w:type="dxa"/>
          </w:tcPr>
          <w:p w14:paraId="50DDB42A">
            <w:pPr>
              <w:rPr>
                <w:rFonts w:ascii="Arial"/>
              </w:rPr>
            </w:pPr>
          </w:p>
        </w:tc>
        <w:tc>
          <w:tcPr>
            <w:tcW w:w="1068" w:type="dxa"/>
          </w:tcPr>
          <w:p w14:paraId="4A354E50">
            <w:pPr>
              <w:rPr>
                <w:rFonts w:ascii="Arial"/>
              </w:rPr>
            </w:pPr>
          </w:p>
        </w:tc>
      </w:tr>
      <w:tr w14:paraId="394D7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08C02178">
            <w:pPr>
              <w:rPr>
                <w:rFonts w:ascii="Arial"/>
              </w:rPr>
            </w:pPr>
          </w:p>
        </w:tc>
        <w:tc>
          <w:tcPr>
            <w:tcW w:w="1303" w:type="dxa"/>
          </w:tcPr>
          <w:p w14:paraId="52D5DB33">
            <w:pPr>
              <w:rPr>
                <w:rFonts w:ascii="Arial"/>
              </w:rPr>
            </w:pPr>
          </w:p>
        </w:tc>
        <w:tc>
          <w:tcPr>
            <w:tcW w:w="1064" w:type="dxa"/>
          </w:tcPr>
          <w:p w14:paraId="13A121F1">
            <w:pPr>
              <w:rPr>
                <w:rFonts w:ascii="Arial"/>
              </w:rPr>
            </w:pPr>
          </w:p>
        </w:tc>
        <w:tc>
          <w:tcPr>
            <w:tcW w:w="1064" w:type="dxa"/>
          </w:tcPr>
          <w:p w14:paraId="1C9ED11B">
            <w:pPr>
              <w:rPr>
                <w:rFonts w:ascii="Arial"/>
              </w:rPr>
            </w:pPr>
          </w:p>
        </w:tc>
        <w:tc>
          <w:tcPr>
            <w:tcW w:w="1064" w:type="dxa"/>
          </w:tcPr>
          <w:p w14:paraId="58FF030A">
            <w:pPr>
              <w:rPr>
                <w:rFonts w:ascii="Arial"/>
              </w:rPr>
            </w:pPr>
          </w:p>
        </w:tc>
        <w:tc>
          <w:tcPr>
            <w:tcW w:w="1065" w:type="dxa"/>
          </w:tcPr>
          <w:p w14:paraId="4EE89049">
            <w:pPr>
              <w:rPr>
                <w:rFonts w:ascii="Arial"/>
              </w:rPr>
            </w:pPr>
          </w:p>
        </w:tc>
        <w:tc>
          <w:tcPr>
            <w:tcW w:w="1065" w:type="dxa"/>
          </w:tcPr>
          <w:p w14:paraId="23D2213A">
            <w:pPr>
              <w:rPr>
                <w:rFonts w:ascii="Arial"/>
              </w:rPr>
            </w:pPr>
          </w:p>
        </w:tc>
        <w:tc>
          <w:tcPr>
            <w:tcW w:w="1068" w:type="dxa"/>
          </w:tcPr>
          <w:p w14:paraId="46A9C630">
            <w:pPr>
              <w:rPr>
                <w:rFonts w:ascii="Arial"/>
              </w:rPr>
            </w:pPr>
          </w:p>
        </w:tc>
      </w:tr>
      <w:tr w14:paraId="7B05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0B5622EA">
            <w:pPr>
              <w:rPr>
                <w:rFonts w:ascii="Arial"/>
              </w:rPr>
            </w:pPr>
          </w:p>
        </w:tc>
        <w:tc>
          <w:tcPr>
            <w:tcW w:w="1303" w:type="dxa"/>
          </w:tcPr>
          <w:p w14:paraId="05DDF049">
            <w:pPr>
              <w:rPr>
                <w:rFonts w:ascii="Arial"/>
              </w:rPr>
            </w:pPr>
          </w:p>
        </w:tc>
        <w:tc>
          <w:tcPr>
            <w:tcW w:w="1064" w:type="dxa"/>
          </w:tcPr>
          <w:p w14:paraId="5CDAC9FF">
            <w:pPr>
              <w:rPr>
                <w:rFonts w:ascii="Arial"/>
              </w:rPr>
            </w:pPr>
          </w:p>
        </w:tc>
        <w:tc>
          <w:tcPr>
            <w:tcW w:w="1064" w:type="dxa"/>
          </w:tcPr>
          <w:p w14:paraId="6D4B8C6F">
            <w:pPr>
              <w:rPr>
                <w:rFonts w:ascii="Arial"/>
              </w:rPr>
            </w:pPr>
          </w:p>
        </w:tc>
        <w:tc>
          <w:tcPr>
            <w:tcW w:w="1064" w:type="dxa"/>
          </w:tcPr>
          <w:p w14:paraId="28CE781C">
            <w:pPr>
              <w:rPr>
                <w:rFonts w:ascii="Arial"/>
              </w:rPr>
            </w:pPr>
          </w:p>
        </w:tc>
        <w:tc>
          <w:tcPr>
            <w:tcW w:w="1065" w:type="dxa"/>
          </w:tcPr>
          <w:p w14:paraId="3C17D960">
            <w:pPr>
              <w:rPr>
                <w:rFonts w:ascii="Arial"/>
              </w:rPr>
            </w:pPr>
          </w:p>
        </w:tc>
        <w:tc>
          <w:tcPr>
            <w:tcW w:w="1065" w:type="dxa"/>
          </w:tcPr>
          <w:p w14:paraId="486D88AF">
            <w:pPr>
              <w:rPr>
                <w:rFonts w:ascii="Arial"/>
              </w:rPr>
            </w:pPr>
          </w:p>
        </w:tc>
        <w:tc>
          <w:tcPr>
            <w:tcW w:w="1068" w:type="dxa"/>
          </w:tcPr>
          <w:p w14:paraId="566D0192">
            <w:pPr>
              <w:rPr>
                <w:rFonts w:ascii="Arial"/>
              </w:rPr>
            </w:pPr>
          </w:p>
        </w:tc>
      </w:tr>
      <w:tr w14:paraId="75A58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6130B71A">
            <w:pPr>
              <w:rPr>
                <w:rFonts w:ascii="Arial"/>
              </w:rPr>
            </w:pPr>
          </w:p>
        </w:tc>
        <w:tc>
          <w:tcPr>
            <w:tcW w:w="1303" w:type="dxa"/>
          </w:tcPr>
          <w:p w14:paraId="6C3A6A10">
            <w:pPr>
              <w:rPr>
                <w:rFonts w:ascii="Arial"/>
              </w:rPr>
            </w:pPr>
          </w:p>
        </w:tc>
        <w:tc>
          <w:tcPr>
            <w:tcW w:w="1064" w:type="dxa"/>
          </w:tcPr>
          <w:p w14:paraId="5D840B09">
            <w:pPr>
              <w:rPr>
                <w:rFonts w:ascii="Arial"/>
              </w:rPr>
            </w:pPr>
          </w:p>
        </w:tc>
        <w:tc>
          <w:tcPr>
            <w:tcW w:w="1064" w:type="dxa"/>
          </w:tcPr>
          <w:p w14:paraId="429E05B7">
            <w:pPr>
              <w:rPr>
                <w:rFonts w:ascii="Arial"/>
              </w:rPr>
            </w:pPr>
          </w:p>
        </w:tc>
        <w:tc>
          <w:tcPr>
            <w:tcW w:w="1064" w:type="dxa"/>
          </w:tcPr>
          <w:p w14:paraId="18883692">
            <w:pPr>
              <w:rPr>
                <w:rFonts w:ascii="Arial"/>
              </w:rPr>
            </w:pPr>
          </w:p>
        </w:tc>
        <w:tc>
          <w:tcPr>
            <w:tcW w:w="1065" w:type="dxa"/>
          </w:tcPr>
          <w:p w14:paraId="7AD580A1">
            <w:pPr>
              <w:rPr>
                <w:rFonts w:ascii="Arial"/>
              </w:rPr>
            </w:pPr>
          </w:p>
        </w:tc>
        <w:tc>
          <w:tcPr>
            <w:tcW w:w="1065" w:type="dxa"/>
          </w:tcPr>
          <w:p w14:paraId="5CF6E404">
            <w:pPr>
              <w:rPr>
                <w:rFonts w:ascii="Arial"/>
              </w:rPr>
            </w:pPr>
          </w:p>
        </w:tc>
        <w:tc>
          <w:tcPr>
            <w:tcW w:w="1068" w:type="dxa"/>
          </w:tcPr>
          <w:p w14:paraId="5341D1EE">
            <w:pPr>
              <w:rPr>
                <w:rFonts w:ascii="Arial"/>
              </w:rPr>
            </w:pPr>
          </w:p>
        </w:tc>
      </w:tr>
      <w:tr w14:paraId="3925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tcPr>
          <w:p w14:paraId="353202F0">
            <w:pPr>
              <w:rPr>
                <w:rFonts w:ascii="Arial"/>
              </w:rPr>
            </w:pPr>
          </w:p>
        </w:tc>
        <w:tc>
          <w:tcPr>
            <w:tcW w:w="1303" w:type="dxa"/>
          </w:tcPr>
          <w:p w14:paraId="23CF85F9">
            <w:pPr>
              <w:rPr>
                <w:rFonts w:ascii="Arial"/>
              </w:rPr>
            </w:pPr>
          </w:p>
        </w:tc>
        <w:tc>
          <w:tcPr>
            <w:tcW w:w="1064" w:type="dxa"/>
          </w:tcPr>
          <w:p w14:paraId="38B5FEB2">
            <w:pPr>
              <w:rPr>
                <w:rFonts w:ascii="Arial"/>
              </w:rPr>
            </w:pPr>
          </w:p>
        </w:tc>
        <w:tc>
          <w:tcPr>
            <w:tcW w:w="1064" w:type="dxa"/>
          </w:tcPr>
          <w:p w14:paraId="000F5662">
            <w:pPr>
              <w:rPr>
                <w:rFonts w:ascii="Arial"/>
              </w:rPr>
            </w:pPr>
          </w:p>
        </w:tc>
        <w:tc>
          <w:tcPr>
            <w:tcW w:w="1064" w:type="dxa"/>
          </w:tcPr>
          <w:p w14:paraId="2641A900">
            <w:pPr>
              <w:rPr>
                <w:rFonts w:ascii="Arial"/>
              </w:rPr>
            </w:pPr>
          </w:p>
        </w:tc>
        <w:tc>
          <w:tcPr>
            <w:tcW w:w="1065" w:type="dxa"/>
          </w:tcPr>
          <w:p w14:paraId="5B593E39">
            <w:pPr>
              <w:rPr>
                <w:rFonts w:ascii="Arial"/>
              </w:rPr>
            </w:pPr>
          </w:p>
        </w:tc>
        <w:tc>
          <w:tcPr>
            <w:tcW w:w="1065" w:type="dxa"/>
          </w:tcPr>
          <w:p w14:paraId="38A398E4">
            <w:pPr>
              <w:rPr>
                <w:rFonts w:ascii="Arial"/>
              </w:rPr>
            </w:pPr>
          </w:p>
        </w:tc>
        <w:tc>
          <w:tcPr>
            <w:tcW w:w="1068" w:type="dxa"/>
          </w:tcPr>
          <w:p w14:paraId="720B38E3">
            <w:pPr>
              <w:rPr>
                <w:rFonts w:ascii="Arial"/>
              </w:rPr>
            </w:pPr>
          </w:p>
        </w:tc>
      </w:tr>
      <w:tr w14:paraId="6E912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33" w:type="dxa"/>
          </w:tcPr>
          <w:p w14:paraId="7CE02914">
            <w:pPr>
              <w:rPr>
                <w:rFonts w:ascii="Arial"/>
              </w:rPr>
            </w:pPr>
          </w:p>
        </w:tc>
        <w:tc>
          <w:tcPr>
            <w:tcW w:w="1303" w:type="dxa"/>
          </w:tcPr>
          <w:p w14:paraId="03D5AD5D">
            <w:pPr>
              <w:rPr>
                <w:rFonts w:ascii="Arial"/>
              </w:rPr>
            </w:pPr>
          </w:p>
        </w:tc>
        <w:tc>
          <w:tcPr>
            <w:tcW w:w="1064" w:type="dxa"/>
          </w:tcPr>
          <w:p w14:paraId="543B59AD">
            <w:pPr>
              <w:rPr>
                <w:rFonts w:ascii="Arial"/>
              </w:rPr>
            </w:pPr>
          </w:p>
        </w:tc>
        <w:tc>
          <w:tcPr>
            <w:tcW w:w="1064" w:type="dxa"/>
          </w:tcPr>
          <w:p w14:paraId="339194E9">
            <w:pPr>
              <w:rPr>
                <w:rFonts w:ascii="Arial"/>
              </w:rPr>
            </w:pPr>
          </w:p>
        </w:tc>
        <w:tc>
          <w:tcPr>
            <w:tcW w:w="1064" w:type="dxa"/>
          </w:tcPr>
          <w:p w14:paraId="35DF2C3B">
            <w:pPr>
              <w:rPr>
                <w:rFonts w:ascii="Arial"/>
              </w:rPr>
            </w:pPr>
          </w:p>
        </w:tc>
        <w:tc>
          <w:tcPr>
            <w:tcW w:w="1065" w:type="dxa"/>
          </w:tcPr>
          <w:p w14:paraId="0017C0CA">
            <w:pPr>
              <w:rPr>
                <w:rFonts w:ascii="Arial"/>
              </w:rPr>
            </w:pPr>
          </w:p>
        </w:tc>
        <w:tc>
          <w:tcPr>
            <w:tcW w:w="1065" w:type="dxa"/>
          </w:tcPr>
          <w:p w14:paraId="3F32DA6E">
            <w:pPr>
              <w:rPr>
                <w:rFonts w:ascii="Arial"/>
              </w:rPr>
            </w:pPr>
          </w:p>
        </w:tc>
        <w:tc>
          <w:tcPr>
            <w:tcW w:w="1068" w:type="dxa"/>
          </w:tcPr>
          <w:p w14:paraId="3E0C9B59">
            <w:pPr>
              <w:rPr>
                <w:rFonts w:ascii="Arial"/>
              </w:rPr>
            </w:pPr>
          </w:p>
        </w:tc>
      </w:tr>
    </w:tbl>
    <w:p w14:paraId="1B5F4D37">
      <w:pPr>
        <w:pStyle w:val="9"/>
      </w:pPr>
    </w:p>
    <w:p w14:paraId="17BE1E59">
      <w:pPr>
        <w:sectPr>
          <w:footerReference r:id="rId11" w:type="default"/>
          <w:pgSz w:w="11906" w:h="16838"/>
          <w:pgMar w:top="1701" w:right="1531" w:bottom="1531" w:left="1531" w:header="0" w:footer="986" w:gutter="0"/>
          <w:cols w:space="0" w:num="1"/>
        </w:sectPr>
      </w:pPr>
    </w:p>
    <w:p w14:paraId="0E45BF5A">
      <w:pPr>
        <w:spacing w:line="360" w:lineRule="auto"/>
        <w:jc w:val="center"/>
        <w:rPr>
          <w:b/>
          <w:bCs/>
          <w:sz w:val="24"/>
          <w:szCs w:val="24"/>
        </w:rPr>
      </w:pPr>
      <w:bookmarkStart w:id="760" w:name="bookmark76"/>
      <w:bookmarkEnd w:id="760"/>
      <w:bookmarkStart w:id="761" w:name="bookmark75"/>
      <w:bookmarkEnd w:id="761"/>
      <w:r>
        <w:rPr>
          <w:rFonts w:hint="eastAsia"/>
          <w:b/>
          <w:bCs/>
          <w:sz w:val="24"/>
          <w:szCs w:val="24"/>
        </w:rPr>
        <w:t>附表三：进度计划</w:t>
      </w:r>
    </w:p>
    <w:p w14:paraId="4D771769">
      <w:pPr>
        <w:spacing w:line="360" w:lineRule="auto"/>
        <w:ind w:firstLine="524"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1.供应商应提交施工进度网络图或施工进度表，说明按磋商文件要求的计划工期进行施工的各个关键日期。</w:t>
      </w:r>
    </w:p>
    <w:p w14:paraId="5DAF231B">
      <w:pPr>
        <w:spacing w:line="360" w:lineRule="auto"/>
        <w:ind w:firstLine="524" w:firstLineChars="200"/>
        <w:jc w:val="left"/>
        <w:rPr>
          <w:b/>
          <w:bCs/>
          <w:sz w:val="24"/>
          <w:szCs w:val="24"/>
        </w:rPr>
      </w:pPr>
      <w:r>
        <w:rPr>
          <w:rFonts w:hint="eastAsia" w:asciiTheme="minorEastAsia" w:hAnsiTheme="minorEastAsia" w:eastAsiaTheme="minorEastAsia" w:cstheme="minorEastAsia"/>
          <w:spacing w:val="11"/>
          <w:sz w:val="24"/>
          <w:szCs w:val="24"/>
        </w:rPr>
        <w:t>2.施工进度表可采用网络图或横道图表示。</w:t>
      </w:r>
      <w:bookmarkStart w:id="762" w:name="bookmark77"/>
      <w:bookmarkEnd w:id="762"/>
      <w:bookmarkStart w:id="763" w:name="bookmark78"/>
      <w:bookmarkEnd w:id="763"/>
      <w:r>
        <w:rPr>
          <w:rFonts w:hint="eastAsia" w:asciiTheme="minorEastAsia" w:hAnsiTheme="minorEastAsia" w:eastAsiaTheme="minorEastAsia" w:cstheme="minorEastAsia"/>
          <w:spacing w:val="11"/>
          <w:sz w:val="24"/>
          <w:szCs w:val="24"/>
        </w:rPr>
        <w:br w:type="textWrapping"/>
      </w:r>
      <w:r>
        <w:rPr>
          <w:rFonts w:hint="eastAsia" w:asciiTheme="minorEastAsia" w:hAnsiTheme="minorEastAsia" w:eastAsiaTheme="minorEastAsia" w:cstheme="minorEastAsia"/>
          <w:spacing w:val="11"/>
          <w:sz w:val="24"/>
          <w:szCs w:val="24"/>
        </w:rPr>
        <w:br w:type="textWrapping"/>
      </w:r>
      <w:r>
        <w:rPr>
          <w:rFonts w:hint="eastAsia" w:asciiTheme="minorEastAsia" w:hAnsiTheme="minorEastAsia" w:eastAsiaTheme="minorEastAsia" w:cstheme="minorEastAsia"/>
          <w:spacing w:val="8"/>
          <w:sz w:val="24"/>
          <w:szCs w:val="24"/>
        </w:rPr>
        <w:br w:type="textWrapping"/>
      </w:r>
      <w:r>
        <w:rPr>
          <w:rFonts w:hint="eastAsia" w:asciiTheme="minorEastAsia" w:hAnsiTheme="minorEastAsia" w:eastAsiaTheme="minorEastAsia" w:cstheme="minorEastAsia"/>
          <w:spacing w:val="8"/>
          <w:sz w:val="24"/>
          <w:szCs w:val="24"/>
        </w:rPr>
        <w:t xml:space="preserve">                        </w:t>
      </w:r>
      <w:r>
        <w:rPr>
          <w:rFonts w:hint="eastAsia"/>
          <w:b/>
          <w:bCs/>
          <w:sz w:val="24"/>
          <w:szCs w:val="24"/>
        </w:rPr>
        <w:t>附表四：施工总平面图</w:t>
      </w:r>
    </w:p>
    <w:p w14:paraId="24E318C1">
      <w:pPr>
        <w:spacing w:line="360" w:lineRule="auto"/>
        <w:ind w:firstLine="524"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供应商应提交一份施工总平面图，绘出现场临时设施布置图表，并注明临时设施、加工车间、现场办公、设备及仓储、供电、供水、卫生、生活、道路、消防等设施的情况和布置。</w:t>
      </w:r>
    </w:p>
    <w:p w14:paraId="13CC9A42">
      <w:pPr>
        <w:spacing w:line="360" w:lineRule="auto"/>
        <w:ind w:firstLine="524" w:firstLineChars="200"/>
        <w:rPr>
          <w:rFonts w:asciiTheme="minorEastAsia" w:hAnsiTheme="minorEastAsia" w:eastAsiaTheme="minorEastAsia" w:cstheme="minorEastAsia"/>
          <w:spacing w:val="11"/>
          <w:sz w:val="24"/>
          <w:szCs w:val="24"/>
        </w:rPr>
        <w:sectPr>
          <w:footerReference r:id="rId12" w:type="default"/>
          <w:pgSz w:w="11906" w:h="16838"/>
          <w:pgMar w:top="1701" w:right="1531" w:bottom="1531" w:left="1531" w:header="0" w:footer="986" w:gutter="0"/>
          <w:cols w:space="0" w:num="1"/>
        </w:sectPr>
      </w:pPr>
    </w:p>
    <w:p w14:paraId="635B5DFA">
      <w:pPr>
        <w:spacing w:line="360" w:lineRule="auto"/>
        <w:jc w:val="center"/>
        <w:rPr>
          <w:b/>
          <w:bCs/>
          <w:sz w:val="28"/>
          <w:szCs w:val="28"/>
        </w:rPr>
      </w:pPr>
      <w:bookmarkStart w:id="764" w:name="bookmark79"/>
      <w:bookmarkEnd w:id="764"/>
      <w:bookmarkStart w:id="765" w:name="bookmark80"/>
      <w:bookmarkEnd w:id="765"/>
      <w:bookmarkStart w:id="766" w:name="bookmark82"/>
      <w:bookmarkEnd w:id="766"/>
      <w:r>
        <w:rPr>
          <w:rFonts w:hint="eastAsia"/>
          <w:b/>
          <w:bCs/>
          <w:sz w:val="28"/>
          <w:szCs w:val="28"/>
        </w:rPr>
        <w:t>七、项目管理机构</w:t>
      </w:r>
    </w:p>
    <w:p w14:paraId="1A58A0B1">
      <w:pPr>
        <w:spacing w:line="360" w:lineRule="auto"/>
        <w:jc w:val="center"/>
        <w:rPr>
          <w:rFonts w:asciiTheme="minorEastAsia" w:hAnsiTheme="minorEastAsia" w:eastAsiaTheme="minorEastAsia" w:cstheme="minorEastAsia"/>
          <w:b/>
          <w:bCs/>
          <w:sz w:val="24"/>
          <w:szCs w:val="24"/>
        </w:rPr>
      </w:pPr>
      <w:bookmarkStart w:id="767" w:name="bookmark81"/>
      <w:bookmarkEnd w:id="767"/>
      <w:r>
        <w:rPr>
          <w:rFonts w:hint="eastAsia" w:asciiTheme="minorEastAsia" w:hAnsiTheme="minorEastAsia" w:eastAsiaTheme="minorEastAsia" w:cstheme="minorEastAsia"/>
          <w:b/>
          <w:bCs/>
          <w:sz w:val="24"/>
          <w:szCs w:val="24"/>
        </w:rPr>
        <w:t>1.项目管理机构组成表</w:t>
      </w:r>
    </w:p>
    <w:p w14:paraId="5B26C3FA">
      <w:pPr>
        <w:spacing w:line="119" w:lineRule="exact"/>
      </w:pPr>
    </w:p>
    <w:tbl>
      <w:tblPr>
        <w:tblStyle w:val="6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720"/>
        <w:gridCol w:w="719"/>
        <w:gridCol w:w="1080"/>
        <w:gridCol w:w="719"/>
        <w:gridCol w:w="721"/>
        <w:gridCol w:w="719"/>
        <w:gridCol w:w="2521"/>
        <w:gridCol w:w="676"/>
      </w:tblGrid>
      <w:tr w14:paraId="61C4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1" w:type="dxa"/>
            <w:vMerge w:val="restart"/>
            <w:tcBorders>
              <w:bottom w:val="nil"/>
            </w:tcBorders>
            <w:vAlign w:val="center"/>
          </w:tcPr>
          <w:p w14:paraId="3F88C265">
            <w:pPr>
              <w:adjustRightInd w:val="0"/>
              <w:spacing w:line="288" w:lineRule="auto"/>
              <w:jc w:val="center"/>
              <w:rPr>
                <w:rFonts w:asciiTheme="minorEastAsia" w:hAnsiTheme="minorEastAsia" w:eastAsiaTheme="minorEastAsia" w:cstheme="minorEastAsia"/>
              </w:rPr>
            </w:pPr>
          </w:p>
          <w:p w14:paraId="2128C7D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职务</w:t>
            </w:r>
          </w:p>
        </w:tc>
        <w:tc>
          <w:tcPr>
            <w:tcW w:w="720" w:type="dxa"/>
            <w:vMerge w:val="restart"/>
            <w:tcBorders>
              <w:bottom w:val="nil"/>
            </w:tcBorders>
            <w:vAlign w:val="center"/>
          </w:tcPr>
          <w:p w14:paraId="0B494E80">
            <w:pPr>
              <w:adjustRightInd w:val="0"/>
              <w:spacing w:line="288" w:lineRule="auto"/>
              <w:jc w:val="center"/>
              <w:rPr>
                <w:rFonts w:asciiTheme="minorEastAsia" w:hAnsiTheme="minorEastAsia" w:eastAsiaTheme="minorEastAsia" w:cstheme="minorEastAsia"/>
              </w:rPr>
            </w:pPr>
          </w:p>
          <w:p w14:paraId="16D84DE9">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719" w:type="dxa"/>
            <w:vMerge w:val="restart"/>
            <w:tcBorders>
              <w:bottom w:val="nil"/>
            </w:tcBorders>
            <w:vAlign w:val="center"/>
          </w:tcPr>
          <w:p w14:paraId="2A43ACEB">
            <w:pPr>
              <w:adjustRightInd w:val="0"/>
              <w:spacing w:line="288" w:lineRule="auto"/>
              <w:jc w:val="center"/>
              <w:rPr>
                <w:rFonts w:asciiTheme="minorEastAsia" w:hAnsiTheme="minorEastAsia" w:eastAsiaTheme="minorEastAsia" w:cstheme="minorEastAsia"/>
              </w:rPr>
            </w:pPr>
          </w:p>
          <w:p w14:paraId="5D736FB9">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5760" w:type="dxa"/>
            <w:gridSpan w:val="5"/>
            <w:vAlign w:val="center"/>
          </w:tcPr>
          <w:p w14:paraId="344C0F0F">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执业或职业资格证明</w:t>
            </w:r>
          </w:p>
        </w:tc>
        <w:tc>
          <w:tcPr>
            <w:tcW w:w="676" w:type="dxa"/>
            <w:vAlign w:val="center"/>
          </w:tcPr>
          <w:p w14:paraId="2C7EDB80">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18A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vMerge w:val="continue"/>
            <w:tcBorders>
              <w:top w:val="nil"/>
            </w:tcBorders>
            <w:vAlign w:val="center"/>
          </w:tcPr>
          <w:p w14:paraId="6564B6EF">
            <w:pPr>
              <w:adjustRightInd w:val="0"/>
              <w:spacing w:line="288" w:lineRule="auto"/>
              <w:jc w:val="center"/>
              <w:rPr>
                <w:rFonts w:asciiTheme="minorEastAsia" w:hAnsiTheme="minorEastAsia" w:eastAsiaTheme="minorEastAsia" w:cstheme="minorEastAsia"/>
              </w:rPr>
            </w:pPr>
          </w:p>
        </w:tc>
        <w:tc>
          <w:tcPr>
            <w:tcW w:w="720" w:type="dxa"/>
            <w:vMerge w:val="continue"/>
            <w:tcBorders>
              <w:top w:val="nil"/>
            </w:tcBorders>
            <w:vAlign w:val="center"/>
          </w:tcPr>
          <w:p w14:paraId="5DC84920">
            <w:pPr>
              <w:adjustRightInd w:val="0"/>
              <w:spacing w:line="288" w:lineRule="auto"/>
              <w:jc w:val="center"/>
              <w:rPr>
                <w:rFonts w:asciiTheme="minorEastAsia" w:hAnsiTheme="minorEastAsia" w:eastAsiaTheme="minorEastAsia" w:cstheme="minorEastAsia"/>
              </w:rPr>
            </w:pPr>
          </w:p>
        </w:tc>
        <w:tc>
          <w:tcPr>
            <w:tcW w:w="719" w:type="dxa"/>
            <w:vMerge w:val="continue"/>
            <w:tcBorders>
              <w:top w:val="nil"/>
            </w:tcBorders>
            <w:vAlign w:val="center"/>
          </w:tcPr>
          <w:p w14:paraId="616FEE44">
            <w:pPr>
              <w:adjustRightInd w:val="0"/>
              <w:spacing w:line="288" w:lineRule="auto"/>
              <w:jc w:val="center"/>
              <w:rPr>
                <w:rFonts w:asciiTheme="minorEastAsia" w:hAnsiTheme="minorEastAsia" w:eastAsiaTheme="minorEastAsia" w:cstheme="minorEastAsia"/>
              </w:rPr>
            </w:pPr>
          </w:p>
        </w:tc>
        <w:tc>
          <w:tcPr>
            <w:tcW w:w="1080" w:type="dxa"/>
            <w:vAlign w:val="center"/>
          </w:tcPr>
          <w:p w14:paraId="1F8E368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证书名称</w:t>
            </w:r>
          </w:p>
        </w:tc>
        <w:tc>
          <w:tcPr>
            <w:tcW w:w="719" w:type="dxa"/>
            <w:vAlign w:val="center"/>
          </w:tcPr>
          <w:p w14:paraId="1DD1D99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级别</w:t>
            </w:r>
          </w:p>
        </w:tc>
        <w:tc>
          <w:tcPr>
            <w:tcW w:w="721" w:type="dxa"/>
            <w:vAlign w:val="center"/>
          </w:tcPr>
          <w:p w14:paraId="6B4859AD">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证号</w:t>
            </w:r>
          </w:p>
        </w:tc>
        <w:tc>
          <w:tcPr>
            <w:tcW w:w="719" w:type="dxa"/>
            <w:vAlign w:val="center"/>
          </w:tcPr>
          <w:p w14:paraId="275E856D">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w:t>
            </w:r>
          </w:p>
        </w:tc>
        <w:tc>
          <w:tcPr>
            <w:tcW w:w="2521" w:type="dxa"/>
            <w:vAlign w:val="center"/>
          </w:tcPr>
          <w:p w14:paraId="56D6E107">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养老保险</w:t>
            </w:r>
          </w:p>
        </w:tc>
        <w:tc>
          <w:tcPr>
            <w:tcW w:w="676" w:type="dxa"/>
            <w:vAlign w:val="center"/>
          </w:tcPr>
          <w:p w14:paraId="2258E6CC">
            <w:pPr>
              <w:adjustRightInd w:val="0"/>
              <w:spacing w:line="288" w:lineRule="auto"/>
              <w:jc w:val="center"/>
              <w:rPr>
                <w:rFonts w:asciiTheme="minorEastAsia" w:hAnsiTheme="minorEastAsia" w:eastAsiaTheme="minorEastAsia" w:cstheme="minorEastAsia"/>
              </w:rPr>
            </w:pPr>
          </w:p>
        </w:tc>
      </w:tr>
      <w:tr w14:paraId="2FBE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tcPr>
          <w:p w14:paraId="1BBCB48B">
            <w:pPr>
              <w:rPr>
                <w:rFonts w:ascii="Arial"/>
              </w:rPr>
            </w:pPr>
          </w:p>
        </w:tc>
        <w:tc>
          <w:tcPr>
            <w:tcW w:w="720" w:type="dxa"/>
          </w:tcPr>
          <w:p w14:paraId="68C84F97">
            <w:pPr>
              <w:rPr>
                <w:rFonts w:ascii="Arial"/>
              </w:rPr>
            </w:pPr>
          </w:p>
        </w:tc>
        <w:tc>
          <w:tcPr>
            <w:tcW w:w="719" w:type="dxa"/>
          </w:tcPr>
          <w:p w14:paraId="76584A7B">
            <w:pPr>
              <w:rPr>
                <w:rFonts w:ascii="Arial"/>
              </w:rPr>
            </w:pPr>
          </w:p>
        </w:tc>
        <w:tc>
          <w:tcPr>
            <w:tcW w:w="1080" w:type="dxa"/>
          </w:tcPr>
          <w:p w14:paraId="605D2D9E">
            <w:pPr>
              <w:rPr>
                <w:rFonts w:ascii="Arial"/>
              </w:rPr>
            </w:pPr>
          </w:p>
        </w:tc>
        <w:tc>
          <w:tcPr>
            <w:tcW w:w="719" w:type="dxa"/>
          </w:tcPr>
          <w:p w14:paraId="2916F7AC">
            <w:pPr>
              <w:rPr>
                <w:rFonts w:ascii="Arial"/>
              </w:rPr>
            </w:pPr>
          </w:p>
        </w:tc>
        <w:tc>
          <w:tcPr>
            <w:tcW w:w="721" w:type="dxa"/>
          </w:tcPr>
          <w:p w14:paraId="17988BBC">
            <w:pPr>
              <w:rPr>
                <w:rFonts w:ascii="Arial"/>
              </w:rPr>
            </w:pPr>
          </w:p>
        </w:tc>
        <w:tc>
          <w:tcPr>
            <w:tcW w:w="719" w:type="dxa"/>
          </w:tcPr>
          <w:p w14:paraId="60D1AB20">
            <w:pPr>
              <w:rPr>
                <w:rFonts w:ascii="Arial"/>
              </w:rPr>
            </w:pPr>
          </w:p>
        </w:tc>
        <w:tc>
          <w:tcPr>
            <w:tcW w:w="2521" w:type="dxa"/>
            <w:vAlign w:val="center"/>
          </w:tcPr>
          <w:p w14:paraId="5AA7918F">
            <w:pPr>
              <w:jc w:val="center"/>
              <w:rPr>
                <w:rFonts w:ascii="Arial"/>
              </w:rPr>
            </w:pPr>
          </w:p>
        </w:tc>
        <w:tc>
          <w:tcPr>
            <w:tcW w:w="676" w:type="dxa"/>
          </w:tcPr>
          <w:p w14:paraId="1836ED4D">
            <w:pPr>
              <w:rPr>
                <w:rFonts w:ascii="Arial"/>
              </w:rPr>
            </w:pPr>
          </w:p>
        </w:tc>
      </w:tr>
      <w:tr w14:paraId="75DD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tcPr>
          <w:p w14:paraId="1ED5697C">
            <w:pPr>
              <w:rPr>
                <w:rFonts w:ascii="Arial"/>
              </w:rPr>
            </w:pPr>
          </w:p>
        </w:tc>
        <w:tc>
          <w:tcPr>
            <w:tcW w:w="720" w:type="dxa"/>
          </w:tcPr>
          <w:p w14:paraId="49253440">
            <w:pPr>
              <w:rPr>
                <w:rFonts w:ascii="Arial"/>
              </w:rPr>
            </w:pPr>
          </w:p>
        </w:tc>
        <w:tc>
          <w:tcPr>
            <w:tcW w:w="719" w:type="dxa"/>
          </w:tcPr>
          <w:p w14:paraId="2E44539B">
            <w:pPr>
              <w:rPr>
                <w:rFonts w:ascii="Arial"/>
              </w:rPr>
            </w:pPr>
          </w:p>
        </w:tc>
        <w:tc>
          <w:tcPr>
            <w:tcW w:w="1080" w:type="dxa"/>
          </w:tcPr>
          <w:p w14:paraId="66DE9CC2">
            <w:pPr>
              <w:rPr>
                <w:rFonts w:ascii="Arial"/>
              </w:rPr>
            </w:pPr>
          </w:p>
        </w:tc>
        <w:tc>
          <w:tcPr>
            <w:tcW w:w="719" w:type="dxa"/>
          </w:tcPr>
          <w:p w14:paraId="4982DC75">
            <w:pPr>
              <w:rPr>
                <w:rFonts w:ascii="Arial"/>
              </w:rPr>
            </w:pPr>
          </w:p>
        </w:tc>
        <w:tc>
          <w:tcPr>
            <w:tcW w:w="721" w:type="dxa"/>
          </w:tcPr>
          <w:p w14:paraId="72287CB0">
            <w:pPr>
              <w:rPr>
                <w:rFonts w:ascii="Arial"/>
              </w:rPr>
            </w:pPr>
          </w:p>
        </w:tc>
        <w:tc>
          <w:tcPr>
            <w:tcW w:w="719" w:type="dxa"/>
          </w:tcPr>
          <w:p w14:paraId="7A9EF84F">
            <w:pPr>
              <w:rPr>
                <w:rFonts w:ascii="Arial"/>
              </w:rPr>
            </w:pPr>
          </w:p>
        </w:tc>
        <w:tc>
          <w:tcPr>
            <w:tcW w:w="2521" w:type="dxa"/>
          </w:tcPr>
          <w:p w14:paraId="55AF6BDB">
            <w:pPr>
              <w:rPr>
                <w:rFonts w:ascii="Arial"/>
              </w:rPr>
            </w:pPr>
          </w:p>
        </w:tc>
        <w:tc>
          <w:tcPr>
            <w:tcW w:w="676" w:type="dxa"/>
          </w:tcPr>
          <w:p w14:paraId="23F461EC">
            <w:pPr>
              <w:rPr>
                <w:rFonts w:ascii="Arial"/>
              </w:rPr>
            </w:pPr>
          </w:p>
        </w:tc>
      </w:tr>
      <w:tr w14:paraId="6384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72CBE15F">
            <w:pPr>
              <w:rPr>
                <w:rFonts w:ascii="Arial"/>
              </w:rPr>
            </w:pPr>
          </w:p>
        </w:tc>
        <w:tc>
          <w:tcPr>
            <w:tcW w:w="720" w:type="dxa"/>
          </w:tcPr>
          <w:p w14:paraId="18D11151">
            <w:pPr>
              <w:rPr>
                <w:rFonts w:ascii="Arial"/>
              </w:rPr>
            </w:pPr>
          </w:p>
        </w:tc>
        <w:tc>
          <w:tcPr>
            <w:tcW w:w="719" w:type="dxa"/>
          </w:tcPr>
          <w:p w14:paraId="0BC64C6C">
            <w:pPr>
              <w:rPr>
                <w:rFonts w:ascii="Arial"/>
              </w:rPr>
            </w:pPr>
          </w:p>
        </w:tc>
        <w:tc>
          <w:tcPr>
            <w:tcW w:w="1080" w:type="dxa"/>
          </w:tcPr>
          <w:p w14:paraId="06BE6236">
            <w:pPr>
              <w:rPr>
                <w:rFonts w:ascii="Arial"/>
              </w:rPr>
            </w:pPr>
          </w:p>
        </w:tc>
        <w:tc>
          <w:tcPr>
            <w:tcW w:w="719" w:type="dxa"/>
          </w:tcPr>
          <w:p w14:paraId="23943A1B">
            <w:pPr>
              <w:rPr>
                <w:rFonts w:ascii="Arial"/>
              </w:rPr>
            </w:pPr>
          </w:p>
        </w:tc>
        <w:tc>
          <w:tcPr>
            <w:tcW w:w="721" w:type="dxa"/>
          </w:tcPr>
          <w:p w14:paraId="70863EB1">
            <w:pPr>
              <w:rPr>
                <w:rFonts w:ascii="Arial"/>
              </w:rPr>
            </w:pPr>
          </w:p>
        </w:tc>
        <w:tc>
          <w:tcPr>
            <w:tcW w:w="719" w:type="dxa"/>
          </w:tcPr>
          <w:p w14:paraId="4969AB6C">
            <w:pPr>
              <w:rPr>
                <w:rFonts w:ascii="Arial"/>
              </w:rPr>
            </w:pPr>
          </w:p>
        </w:tc>
        <w:tc>
          <w:tcPr>
            <w:tcW w:w="2521" w:type="dxa"/>
          </w:tcPr>
          <w:p w14:paraId="08243197">
            <w:pPr>
              <w:rPr>
                <w:rFonts w:ascii="Arial"/>
              </w:rPr>
            </w:pPr>
          </w:p>
        </w:tc>
        <w:tc>
          <w:tcPr>
            <w:tcW w:w="676" w:type="dxa"/>
          </w:tcPr>
          <w:p w14:paraId="787A372A">
            <w:pPr>
              <w:rPr>
                <w:rFonts w:ascii="Arial"/>
              </w:rPr>
            </w:pPr>
          </w:p>
        </w:tc>
      </w:tr>
      <w:tr w14:paraId="49E1D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5D67A2A9">
            <w:pPr>
              <w:rPr>
                <w:rFonts w:ascii="Arial"/>
              </w:rPr>
            </w:pPr>
          </w:p>
        </w:tc>
        <w:tc>
          <w:tcPr>
            <w:tcW w:w="720" w:type="dxa"/>
          </w:tcPr>
          <w:p w14:paraId="7FD82558">
            <w:pPr>
              <w:rPr>
                <w:rFonts w:ascii="Arial"/>
              </w:rPr>
            </w:pPr>
          </w:p>
        </w:tc>
        <w:tc>
          <w:tcPr>
            <w:tcW w:w="719" w:type="dxa"/>
          </w:tcPr>
          <w:p w14:paraId="23552C12">
            <w:pPr>
              <w:rPr>
                <w:rFonts w:ascii="Arial"/>
              </w:rPr>
            </w:pPr>
          </w:p>
        </w:tc>
        <w:tc>
          <w:tcPr>
            <w:tcW w:w="1080" w:type="dxa"/>
          </w:tcPr>
          <w:p w14:paraId="09EBCE30">
            <w:pPr>
              <w:rPr>
                <w:rFonts w:ascii="Arial"/>
              </w:rPr>
            </w:pPr>
          </w:p>
        </w:tc>
        <w:tc>
          <w:tcPr>
            <w:tcW w:w="719" w:type="dxa"/>
          </w:tcPr>
          <w:p w14:paraId="458E60CF">
            <w:pPr>
              <w:rPr>
                <w:rFonts w:ascii="Arial"/>
              </w:rPr>
            </w:pPr>
          </w:p>
        </w:tc>
        <w:tc>
          <w:tcPr>
            <w:tcW w:w="721" w:type="dxa"/>
          </w:tcPr>
          <w:p w14:paraId="39DF4962">
            <w:pPr>
              <w:rPr>
                <w:rFonts w:ascii="Arial"/>
              </w:rPr>
            </w:pPr>
          </w:p>
        </w:tc>
        <w:tc>
          <w:tcPr>
            <w:tcW w:w="719" w:type="dxa"/>
          </w:tcPr>
          <w:p w14:paraId="3658BD61">
            <w:pPr>
              <w:rPr>
                <w:rFonts w:ascii="Arial"/>
              </w:rPr>
            </w:pPr>
          </w:p>
        </w:tc>
        <w:tc>
          <w:tcPr>
            <w:tcW w:w="2521" w:type="dxa"/>
          </w:tcPr>
          <w:p w14:paraId="2BD4EAD1">
            <w:pPr>
              <w:rPr>
                <w:rFonts w:ascii="Arial"/>
              </w:rPr>
            </w:pPr>
          </w:p>
        </w:tc>
        <w:tc>
          <w:tcPr>
            <w:tcW w:w="676" w:type="dxa"/>
          </w:tcPr>
          <w:p w14:paraId="59ABEC19">
            <w:pPr>
              <w:rPr>
                <w:rFonts w:ascii="Arial"/>
              </w:rPr>
            </w:pPr>
          </w:p>
        </w:tc>
      </w:tr>
      <w:tr w14:paraId="1757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15E0FF89">
            <w:pPr>
              <w:rPr>
                <w:rFonts w:ascii="Arial"/>
              </w:rPr>
            </w:pPr>
          </w:p>
        </w:tc>
        <w:tc>
          <w:tcPr>
            <w:tcW w:w="720" w:type="dxa"/>
          </w:tcPr>
          <w:p w14:paraId="0B6E0AF8">
            <w:pPr>
              <w:rPr>
                <w:rFonts w:ascii="Arial"/>
              </w:rPr>
            </w:pPr>
          </w:p>
        </w:tc>
        <w:tc>
          <w:tcPr>
            <w:tcW w:w="719" w:type="dxa"/>
          </w:tcPr>
          <w:p w14:paraId="56F5C7AE">
            <w:pPr>
              <w:rPr>
                <w:rFonts w:ascii="Arial"/>
              </w:rPr>
            </w:pPr>
          </w:p>
        </w:tc>
        <w:tc>
          <w:tcPr>
            <w:tcW w:w="1080" w:type="dxa"/>
          </w:tcPr>
          <w:p w14:paraId="55B78432">
            <w:pPr>
              <w:rPr>
                <w:rFonts w:ascii="Arial"/>
              </w:rPr>
            </w:pPr>
          </w:p>
        </w:tc>
        <w:tc>
          <w:tcPr>
            <w:tcW w:w="719" w:type="dxa"/>
          </w:tcPr>
          <w:p w14:paraId="1875990D">
            <w:pPr>
              <w:rPr>
                <w:rFonts w:ascii="Arial"/>
              </w:rPr>
            </w:pPr>
          </w:p>
        </w:tc>
        <w:tc>
          <w:tcPr>
            <w:tcW w:w="721" w:type="dxa"/>
          </w:tcPr>
          <w:p w14:paraId="3661A754">
            <w:pPr>
              <w:rPr>
                <w:rFonts w:ascii="Arial"/>
              </w:rPr>
            </w:pPr>
          </w:p>
        </w:tc>
        <w:tc>
          <w:tcPr>
            <w:tcW w:w="719" w:type="dxa"/>
          </w:tcPr>
          <w:p w14:paraId="447CAA97">
            <w:pPr>
              <w:rPr>
                <w:rFonts w:ascii="Arial"/>
              </w:rPr>
            </w:pPr>
          </w:p>
        </w:tc>
        <w:tc>
          <w:tcPr>
            <w:tcW w:w="2521" w:type="dxa"/>
          </w:tcPr>
          <w:p w14:paraId="6D02C8A2">
            <w:pPr>
              <w:rPr>
                <w:rFonts w:ascii="Arial"/>
              </w:rPr>
            </w:pPr>
          </w:p>
        </w:tc>
        <w:tc>
          <w:tcPr>
            <w:tcW w:w="676" w:type="dxa"/>
          </w:tcPr>
          <w:p w14:paraId="4C775BD4">
            <w:pPr>
              <w:rPr>
                <w:rFonts w:ascii="Arial"/>
              </w:rPr>
            </w:pPr>
          </w:p>
        </w:tc>
      </w:tr>
      <w:tr w14:paraId="601B7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5292BE75">
            <w:pPr>
              <w:rPr>
                <w:rFonts w:ascii="Arial"/>
              </w:rPr>
            </w:pPr>
          </w:p>
        </w:tc>
        <w:tc>
          <w:tcPr>
            <w:tcW w:w="720" w:type="dxa"/>
          </w:tcPr>
          <w:p w14:paraId="5A2B5826">
            <w:pPr>
              <w:rPr>
                <w:rFonts w:ascii="Arial"/>
              </w:rPr>
            </w:pPr>
          </w:p>
        </w:tc>
        <w:tc>
          <w:tcPr>
            <w:tcW w:w="719" w:type="dxa"/>
          </w:tcPr>
          <w:p w14:paraId="6DE5AA64">
            <w:pPr>
              <w:rPr>
                <w:rFonts w:ascii="Arial"/>
              </w:rPr>
            </w:pPr>
          </w:p>
        </w:tc>
        <w:tc>
          <w:tcPr>
            <w:tcW w:w="1080" w:type="dxa"/>
          </w:tcPr>
          <w:p w14:paraId="05447969">
            <w:pPr>
              <w:rPr>
                <w:rFonts w:ascii="Arial"/>
              </w:rPr>
            </w:pPr>
          </w:p>
        </w:tc>
        <w:tc>
          <w:tcPr>
            <w:tcW w:w="719" w:type="dxa"/>
          </w:tcPr>
          <w:p w14:paraId="70ABD1DF">
            <w:pPr>
              <w:rPr>
                <w:rFonts w:ascii="Arial"/>
              </w:rPr>
            </w:pPr>
          </w:p>
        </w:tc>
        <w:tc>
          <w:tcPr>
            <w:tcW w:w="721" w:type="dxa"/>
          </w:tcPr>
          <w:p w14:paraId="6BC38440">
            <w:pPr>
              <w:rPr>
                <w:rFonts w:ascii="Arial"/>
              </w:rPr>
            </w:pPr>
          </w:p>
        </w:tc>
        <w:tc>
          <w:tcPr>
            <w:tcW w:w="719" w:type="dxa"/>
          </w:tcPr>
          <w:p w14:paraId="54A01235">
            <w:pPr>
              <w:rPr>
                <w:rFonts w:ascii="Arial"/>
              </w:rPr>
            </w:pPr>
          </w:p>
        </w:tc>
        <w:tc>
          <w:tcPr>
            <w:tcW w:w="2521" w:type="dxa"/>
          </w:tcPr>
          <w:p w14:paraId="48390592">
            <w:pPr>
              <w:rPr>
                <w:rFonts w:ascii="Arial"/>
              </w:rPr>
            </w:pPr>
          </w:p>
        </w:tc>
        <w:tc>
          <w:tcPr>
            <w:tcW w:w="676" w:type="dxa"/>
          </w:tcPr>
          <w:p w14:paraId="5E812CF7">
            <w:pPr>
              <w:rPr>
                <w:rFonts w:ascii="Arial"/>
              </w:rPr>
            </w:pPr>
          </w:p>
        </w:tc>
      </w:tr>
      <w:tr w14:paraId="394E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314D1F9C">
            <w:pPr>
              <w:rPr>
                <w:rFonts w:ascii="Arial"/>
              </w:rPr>
            </w:pPr>
          </w:p>
        </w:tc>
        <w:tc>
          <w:tcPr>
            <w:tcW w:w="720" w:type="dxa"/>
          </w:tcPr>
          <w:p w14:paraId="1EFD9C80">
            <w:pPr>
              <w:rPr>
                <w:rFonts w:ascii="Arial"/>
              </w:rPr>
            </w:pPr>
          </w:p>
        </w:tc>
        <w:tc>
          <w:tcPr>
            <w:tcW w:w="719" w:type="dxa"/>
          </w:tcPr>
          <w:p w14:paraId="6EE922B8">
            <w:pPr>
              <w:rPr>
                <w:rFonts w:ascii="Arial"/>
              </w:rPr>
            </w:pPr>
          </w:p>
        </w:tc>
        <w:tc>
          <w:tcPr>
            <w:tcW w:w="1080" w:type="dxa"/>
          </w:tcPr>
          <w:p w14:paraId="690A9000">
            <w:pPr>
              <w:rPr>
                <w:rFonts w:ascii="Arial"/>
              </w:rPr>
            </w:pPr>
          </w:p>
        </w:tc>
        <w:tc>
          <w:tcPr>
            <w:tcW w:w="719" w:type="dxa"/>
          </w:tcPr>
          <w:p w14:paraId="190FD2DB">
            <w:pPr>
              <w:rPr>
                <w:rFonts w:ascii="Arial"/>
              </w:rPr>
            </w:pPr>
          </w:p>
        </w:tc>
        <w:tc>
          <w:tcPr>
            <w:tcW w:w="721" w:type="dxa"/>
          </w:tcPr>
          <w:p w14:paraId="0F601975">
            <w:pPr>
              <w:rPr>
                <w:rFonts w:ascii="Arial"/>
              </w:rPr>
            </w:pPr>
          </w:p>
        </w:tc>
        <w:tc>
          <w:tcPr>
            <w:tcW w:w="719" w:type="dxa"/>
          </w:tcPr>
          <w:p w14:paraId="71C40F02">
            <w:pPr>
              <w:rPr>
                <w:rFonts w:ascii="Arial"/>
              </w:rPr>
            </w:pPr>
          </w:p>
        </w:tc>
        <w:tc>
          <w:tcPr>
            <w:tcW w:w="2521" w:type="dxa"/>
          </w:tcPr>
          <w:p w14:paraId="33EBBE25">
            <w:pPr>
              <w:rPr>
                <w:rFonts w:ascii="Arial"/>
              </w:rPr>
            </w:pPr>
          </w:p>
        </w:tc>
        <w:tc>
          <w:tcPr>
            <w:tcW w:w="676" w:type="dxa"/>
          </w:tcPr>
          <w:p w14:paraId="308039E0">
            <w:pPr>
              <w:rPr>
                <w:rFonts w:ascii="Arial"/>
              </w:rPr>
            </w:pPr>
          </w:p>
        </w:tc>
      </w:tr>
      <w:tr w14:paraId="22C4F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7FFDD166">
            <w:pPr>
              <w:rPr>
                <w:rFonts w:ascii="Arial"/>
              </w:rPr>
            </w:pPr>
          </w:p>
        </w:tc>
        <w:tc>
          <w:tcPr>
            <w:tcW w:w="720" w:type="dxa"/>
          </w:tcPr>
          <w:p w14:paraId="7515D7D9">
            <w:pPr>
              <w:rPr>
                <w:rFonts w:ascii="Arial"/>
              </w:rPr>
            </w:pPr>
          </w:p>
        </w:tc>
        <w:tc>
          <w:tcPr>
            <w:tcW w:w="719" w:type="dxa"/>
          </w:tcPr>
          <w:p w14:paraId="6E29C907">
            <w:pPr>
              <w:rPr>
                <w:rFonts w:ascii="Arial"/>
              </w:rPr>
            </w:pPr>
          </w:p>
        </w:tc>
        <w:tc>
          <w:tcPr>
            <w:tcW w:w="1080" w:type="dxa"/>
          </w:tcPr>
          <w:p w14:paraId="29AFB858">
            <w:pPr>
              <w:rPr>
                <w:rFonts w:ascii="Arial"/>
              </w:rPr>
            </w:pPr>
          </w:p>
        </w:tc>
        <w:tc>
          <w:tcPr>
            <w:tcW w:w="719" w:type="dxa"/>
          </w:tcPr>
          <w:p w14:paraId="065905BB">
            <w:pPr>
              <w:rPr>
                <w:rFonts w:ascii="Arial"/>
              </w:rPr>
            </w:pPr>
          </w:p>
        </w:tc>
        <w:tc>
          <w:tcPr>
            <w:tcW w:w="721" w:type="dxa"/>
          </w:tcPr>
          <w:p w14:paraId="699CCCBE">
            <w:pPr>
              <w:rPr>
                <w:rFonts w:ascii="Arial"/>
              </w:rPr>
            </w:pPr>
          </w:p>
        </w:tc>
        <w:tc>
          <w:tcPr>
            <w:tcW w:w="719" w:type="dxa"/>
          </w:tcPr>
          <w:p w14:paraId="0761F621">
            <w:pPr>
              <w:rPr>
                <w:rFonts w:ascii="Arial"/>
              </w:rPr>
            </w:pPr>
          </w:p>
        </w:tc>
        <w:tc>
          <w:tcPr>
            <w:tcW w:w="2521" w:type="dxa"/>
          </w:tcPr>
          <w:p w14:paraId="39810924">
            <w:pPr>
              <w:rPr>
                <w:rFonts w:ascii="Arial"/>
              </w:rPr>
            </w:pPr>
          </w:p>
        </w:tc>
        <w:tc>
          <w:tcPr>
            <w:tcW w:w="676" w:type="dxa"/>
          </w:tcPr>
          <w:p w14:paraId="256E4C56">
            <w:pPr>
              <w:rPr>
                <w:rFonts w:ascii="Arial"/>
              </w:rPr>
            </w:pPr>
          </w:p>
        </w:tc>
      </w:tr>
      <w:tr w14:paraId="3203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4DA716AC">
            <w:pPr>
              <w:rPr>
                <w:rFonts w:ascii="Arial"/>
              </w:rPr>
            </w:pPr>
          </w:p>
        </w:tc>
        <w:tc>
          <w:tcPr>
            <w:tcW w:w="720" w:type="dxa"/>
          </w:tcPr>
          <w:p w14:paraId="71560F32">
            <w:pPr>
              <w:rPr>
                <w:rFonts w:ascii="Arial"/>
              </w:rPr>
            </w:pPr>
          </w:p>
        </w:tc>
        <w:tc>
          <w:tcPr>
            <w:tcW w:w="719" w:type="dxa"/>
          </w:tcPr>
          <w:p w14:paraId="1076955C">
            <w:pPr>
              <w:rPr>
                <w:rFonts w:ascii="Arial"/>
              </w:rPr>
            </w:pPr>
          </w:p>
        </w:tc>
        <w:tc>
          <w:tcPr>
            <w:tcW w:w="1080" w:type="dxa"/>
          </w:tcPr>
          <w:p w14:paraId="0B5DC908">
            <w:pPr>
              <w:rPr>
                <w:rFonts w:ascii="Arial"/>
              </w:rPr>
            </w:pPr>
          </w:p>
        </w:tc>
        <w:tc>
          <w:tcPr>
            <w:tcW w:w="719" w:type="dxa"/>
          </w:tcPr>
          <w:p w14:paraId="4268C524">
            <w:pPr>
              <w:rPr>
                <w:rFonts w:ascii="Arial"/>
              </w:rPr>
            </w:pPr>
          </w:p>
        </w:tc>
        <w:tc>
          <w:tcPr>
            <w:tcW w:w="721" w:type="dxa"/>
          </w:tcPr>
          <w:p w14:paraId="6F17C44F">
            <w:pPr>
              <w:rPr>
                <w:rFonts w:ascii="Arial"/>
              </w:rPr>
            </w:pPr>
          </w:p>
        </w:tc>
        <w:tc>
          <w:tcPr>
            <w:tcW w:w="719" w:type="dxa"/>
          </w:tcPr>
          <w:p w14:paraId="215BB60E">
            <w:pPr>
              <w:rPr>
                <w:rFonts w:ascii="Arial"/>
              </w:rPr>
            </w:pPr>
          </w:p>
        </w:tc>
        <w:tc>
          <w:tcPr>
            <w:tcW w:w="2521" w:type="dxa"/>
          </w:tcPr>
          <w:p w14:paraId="6CBCD036">
            <w:pPr>
              <w:rPr>
                <w:rFonts w:ascii="Arial"/>
              </w:rPr>
            </w:pPr>
          </w:p>
        </w:tc>
        <w:tc>
          <w:tcPr>
            <w:tcW w:w="676" w:type="dxa"/>
          </w:tcPr>
          <w:p w14:paraId="33804ECB">
            <w:pPr>
              <w:rPr>
                <w:rFonts w:ascii="Arial"/>
              </w:rPr>
            </w:pPr>
          </w:p>
        </w:tc>
      </w:tr>
      <w:tr w14:paraId="32D2A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58586D3F">
            <w:pPr>
              <w:rPr>
                <w:rFonts w:ascii="Arial"/>
              </w:rPr>
            </w:pPr>
          </w:p>
        </w:tc>
        <w:tc>
          <w:tcPr>
            <w:tcW w:w="720" w:type="dxa"/>
          </w:tcPr>
          <w:p w14:paraId="6F199DE5">
            <w:pPr>
              <w:rPr>
                <w:rFonts w:ascii="Arial"/>
              </w:rPr>
            </w:pPr>
          </w:p>
        </w:tc>
        <w:tc>
          <w:tcPr>
            <w:tcW w:w="719" w:type="dxa"/>
          </w:tcPr>
          <w:p w14:paraId="1E9DC0CD">
            <w:pPr>
              <w:rPr>
                <w:rFonts w:ascii="Arial"/>
              </w:rPr>
            </w:pPr>
          </w:p>
        </w:tc>
        <w:tc>
          <w:tcPr>
            <w:tcW w:w="1080" w:type="dxa"/>
          </w:tcPr>
          <w:p w14:paraId="2137535B">
            <w:pPr>
              <w:rPr>
                <w:rFonts w:ascii="Arial"/>
              </w:rPr>
            </w:pPr>
          </w:p>
        </w:tc>
        <w:tc>
          <w:tcPr>
            <w:tcW w:w="719" w:type="dxa"/>
          </w:tcPr>
          <w:p w14:paraId="468E38A1">
            <w:pPr>
              <w:rPr>
                <w:rFonts w:ascii="Arial"/>
              </w:rPr>
            </w:pPr>
          </w:p>
        </w:tc>
        <w:tc>
          <w:tcPr>
            <w:tcW w:w="721" w:type="dxa"/>
          </w:tcPr>
          <w:p w14:paraId="0036C03B">
            <w:pPr>
              <w:rPr>
                <w:rFonts w:ascii="Arial"/>
              </w:rPr>
            </w:pPr>
          </w:p>
        </w:tc>
        <w:tc>
          <w:tcPr>
            <w:tcW w:w="719" w:type="dxa"/>
          </w:tcPr>
          <w:p w14:paraId="66D025CD">
            <w:pPr>
              <w:rPr>
                <w:rFonts w:ascii="Arial"/>
              </w:rPr>
            </w:pPr>
          </w:p>
        </w:tc>
        <w:tc>
          <w:tcPr>
            <w:tcW w:w="2521" w:type="dxa"/>
          </w:tcPr>
          <w:p w14:paraId="71B1C814">
            <w:pPr>
              <w:rPr>
                <w:rFonts w:ascii="Arial"/>
              </w:rPr>
            </w:pPr>
          </w:p>
        </w:tc>
        <w:tc>
          <w:tcPr>
            <w:tcW w:w="676" w:type="dxa"/>
          </w:tcPr>
          <w:p w14:paraId="329384F4">
            <w:pPr>
              <w:rPr>
                <w:rFonts w:ascii="Arial"/>
              </w:rPr>
            </w:pPr>
          </w:p>
        </w:tc>
      </w:tr>
      <w:tr w14:paraId="0D47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289A675B">
            <w:pPr>
              <w:rPr>
                <w:rFonts w:ascii="Arial"/>
              </w:rPr>
            </w:pPr>
          </w:p>
        </w:tc>
        <w:tc>
          <w:tcPr>
            <w:tcW w:w="720" w:type="dxa"/>
          </w:tcPr>
          <w:p w14:paraId="6649CE3F">
            <w:pPr>
              <w:rPr>
                <w:rFonts w:ascii="Arial"/>
              </w:rPr>
            </w:pPr>
          </w:p>
        </w:tc>
        <w:tc>
          <w:tcPr>
            <w:tcW w:w="719" w:type="dxa"/>
          </w:tcPr>
          <w:p w14:paraId="078FF754">
            <w:pPr>
              <w:rPr>
                <w:rFonts w:ascii="Arial"/>
              </w:rPr>
            </w:pPr>
          </w:p>
        </w:tc>
        <w:tc>
          <w:tcPr>
            <w:tcW w:w="1080" w:type="dxa"/>
          </w:tcPr>
          <w:p w14:paraId="3BB12B13">
            <w:pPr>
              <w:rPr>
                <w:rFonts w:ascii="Arial"/>
              </w:rPr>
            </w:pPr>
          </w:p>
        </w:tc>
        <w:tc>
          <w:tcPr>
            <w:tcW w:w="719" w:type="dxa"/>
          </w:tcPr>
          <w:p w14:paraId="6B8B2358">
            <w:pPr>
              <w:rPr>
                <w:rFonts w:ascii="Arial"/>
              </w:rPr>
            </w:pPr>
          </w:p>
        </w:tc>
        <w:tc>
          <w:tcPr>
            <w:tcW w:w="721" w:type="dxa"/>
          </w:tcPr>
          <w:p w14:paraId="4FA5975C">
            <w:pPr>
              <w:rPr>
                <w:rFonts w:ascii="Arial"/>
              </w:rPr>
            </w:pPr>
          </w:p>
        </w:tc>
        <w:tc>
          <w:tcPr>
            <w:tcW w:w="719" w:type="dxa"/>
          </w:tcPr>
          <w:p w14:paraId="4212C34F">
            <w:pPr>
              <w:rPr>
                <w:rFonts w:ascii="Arial"/>
              </w:rPr>
            </w:pPr>
          </w:p>
        </w:tc>
        <w:tc>
          <w:tcPr>
            <w:tcW w:w="2521" w:type="dxa"/>
          </w:tcPr>
          <w:p w14:paraId="0DD1D0AD">
            <w:pPr>
              <w:rPr>
                <w:rFonts w:ascii="Arial"/>
              </w:rPr>
            </w:pPr>
          </w:p>
        </w:tc>
        <w:tc>
          <w:tcPr>
            <w:tcW w:w="676" w:type="dxa"/>
          </w:tcPr>
          <w:p w14:paraId="03409C65">
            <w:pPr>
              <w:rPr>
                <w:rFonts w:ascii="Arial"/>
              </w:rPr>
            </w:pPr>
          </w:p>
        </w:tc>
      </w:tr>
      <w:tr w14:paraId="700A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3FF80833">
            <w:pPr>
              <w:rPr>
                <w:rFonts w:ascii="Arial"/>
              </w:rPr>
            </w:pPr>
          </w:p>
        </w:tc>
        <w:tc>
          <w:tcPr>
            <w:tcW w:w="720" w:type="dxa"/>
          </w:tcPr>
          <w:p w14:paraId="45FEE8DA">
            <w:pPr>
              <w:rPr>
                <w:rFonts w:ascii="Arial"/>
              </w:rPr>
            </w:pPr>
          </w:p>
        </w:tc>
        <w:tc>
          <w:tcPr>
            <w:tcW w:w="719" w:type="dxa"/>
          </w:tcPr>
          <w:p w14:paraId="28964B9B">
            <w:pPr>
              <w:rPr>
                <w:rFonts w:ascii="Arial"/>
              </w:rPr>
            </w:pPr>
          </w:p>
        </w:tc>
        <w:tc>
          <w:tcPr>
            <w:tcW w:w="1080" w:type="dxa"/>
          </w:tcPr>
          <w:p w14:paraId="0ABEBEF1">
            <w:pPr>
              <w:rPr>
                <w:rFonts w:ascii="Arial"/>
              </w:rPr>
            </w:pPr>
          </w:p>
        </w:tc>
        <w:tc>
          <w:tcPr>
            <w:tcW w:w="719" w:type="dxa"/>
          </w:tcPr>
          <w:p w14:paraId="768EEAAE">
            <w:pPr>
              <w:rPr>
                <w:rFonts w:ascii="Arial"/>
              </w:rPr>
            </w:pPr>
          </w:p>
        </w:tc>
        <w:tc>
          <w:tcPr>
            <w:tcW w:w="721" w:type="dxa"/>
          </w:tcPr>
          <w:p w14:paraId="64F49299">
            <w:pPr>
              <w:rPr>
                <w:rFonts w:ascii="Arial"/>
              </w:rPr>
            </w:pPr>
          </w:p>
        </w:tc>
        <w:tc>
          <w:tcPr>
            <w:tcW w:w="719" w:type="dxa"/>
          </w:tcPr>
          <w:p w14:paraId="05FEAB65">
            <w:pPr>
              <w:rPr>
                <w:rFonts w:ascii="Arial"/>
              </w:rPr>
            </w:pPr>
          </w:p>
        </w:tc>
        <w:tc>
          <w:tcPr>
            <w:tcW w:w="2521" w:type="dxa"/>
          </w:tcPr>
          <w:p w14:paraId="39BE2577">
            <w:pPr>
              <w:rPr>
                <w:rFonts w:ascii="Arial"/>
              </w:rPr>
            </w:pPr>
          </w:p>
        </w:tc>
        <w:tc>
          <w:tcPr>
            <w:tcW w:w="676" w:type="dxa"/>
          </w:tcPr>
          <w:p w14:paraId="1DAA7A1D">
            <w:pPr>
              <w:rPr>
                <w:rFonts w:ascii="Arial"/>
              </w:rPr>
            </w:pPr>
          </w:p>
        </w:tc>
      </w:tr>
      <w:tr w14:paraId="3AF4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72DFBAC8">
            <w:pPr>
              <w:rPr>
                <w:rFonts w:ascii="Arial"/>
              </w:rPr>
            </w:pPr>
          </w:p>
        </w:tc>
        <w:tc>
          <w:tcPr>
            <w:tcW w:w="720" w:type="dxa"/>
          </w:tcPr>
          <w:p w14:paraId="5F3E0818">
            <w:pPr>
              <w:rPr>
                <w:rFonts w:ascii="Arial"/>
              </w:rPr>
            </w:pPr>
          </w:p>
        </w:tc>
        <w:tc>
          <w:tcPr>
            <w:tcW w:w="719" w:type="dxa"/>
          </w:tcPr>
          <w:p w14:paraId="2C3CA89D">
            <w:pPr>
              <w:rPr>
                <w:rFonts w:ascii="Arial"/>
              </w:rPr>
            </w:pPr>
          </w:p>
        </w:tc>
        <w:tc>
          <w:tcPr>
            <w:tcW w:w="1080" w:type="dxa"/>
          </w:tcPr>
          <w:p w14:paraId="36921DB8">
            <w:pPr>
              <w:rPr>
                <w:rFonts w:ascii="Arial"/>
              </w:rPr>
            </w:pPr>
          </w:p>
        </w:tc>
        <w:tc>
          <w:tcPr>
            <w:tcW w:w="719" w:type="dxa"/>
          </w:tcPr>
          <w:p w14:paraId="47E4378C">
            <w:pPr>
              <w:rPr>
                <w:rFonts w:ascii="Arial"/>
              </w:rPr>
            </w:pPr>
          </w:p>
        </w:tc>
        <w:tc>
          <w:tcPr>
            <w:tcW w:w="721" w:type="dxa"/>
          </w:tcPr>
          <w:p w14:paraId="2599A833">
            <w:pPr>
              <w:rPr>
                <w:rFonts w:ascii="Arial"/>
              </w:rPr>
            </w:pPr>
          </w:p>
        </w:tc>
        <w:tc>
          <w:tcPr>
            <w:tcW w:w="719" w:type="dxa"/>
          </w:tcPr>
          <w:p w14:paraId="57794ABD">
            <w:pPr>
              <w:rPr>
                <w:rFonts w:ascii="Arial"/>
              </w:rPr>
            </w:pPr>
          </w:p>
        </w:tc>
        <w:tc>
          <w:tcPr>
            <w:tcW w:w="2521" w:type="dxa"/>
          </w:tcPr>
          <w:p w14:paraId="26D91738">
            <w:pPr>
              <w:rPr>
                <w:rFonts w:ascii="Arial"/>
              </w:rPr>
            </w:pPr>
          </w:p>
        </w:tc>
        <w:tc>
          <w:tcPr>
            <w:tcW w:w="676" w:type="dxa"/>
          </w:tcPr>
          <w:p w14:paraId="338F83FA">
            <w:pPr>
              <w:rPr>
                <w:rFonts w:ascii="Arial"/>
              </w:rPr>
            </w:pPr>
          </w:p>
        </w:tc>
      </w:tr>
      <w:tr w14:paraId="6715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6FEF1C1B">
            <w:pPr>
              <w:rPr>
                <w:rFonts w:ascii="Arial"/>
              </w:rPr>
            </w:pPr>
          </w:p>
        </w:tc>
        <w:tc>
          <w:tcPr>
            <w:tcW w:w="720" w:type="dxa"/>
          </w:tcPr>
          <w:p w14:paraId="0970D5B7">
            <w:pPr>
              <w:rPr>
                <w:rFonts w:ascii="Arial"/>
              </w:rPr>
            </w:pPr>
          </w:p>
        </w:tc>
        <w:tc>
          <w:tcPr>
            <w:tcW w:w="719" w:type="dxa"/>
          </w:tcPr>
          <w:p w14:paraId="72CFE0CA">
            <w:pPr>
              <w:rPr>
                <w:rFonts w:ascii="Arial"/>
              </w:rPr>
            </w:pPr>
          </w:p>
        </w:tc>
        <w:tc>
          <w:tcPr>
            <w:tcW w:w="1080" w:type="dxa"/>
          </w:tcPr>
          <w:p w14:paraId="4073D47F">
            <w:pPr>
              <w:rPr>
                <w:rFonts w:ascii="Arial"/>
              </w:rPr>
            </w:pPr>
          </w:p>
        </w:tc>
        <w:tc>
          <w:tcPr>
            <w:tcW w:w="719" w:type="dxa"/>
          </w:tcPr>
          <w:p w14:paraId="46716E30">
            <w:pPr>
              <w:rPr>
                <w:rFonts w:ascii="Arial"/>
              </w:rPr>
            </w:pPr>
          </w:p>
        </w:tc>
        <w:tc>
          <w:tcPr>
            <w:tcW w:w="721" w:type="dxa"/>
          </w:tcPr>
          <w:p w14:paraId="376D2B07">
            <w:pPr>
              <w:rPr>
                <w:rFonts w:ascii="Arial"/>
              </w:rPr>
            </w:pPr>
          </w:p>
        </w:tc>
        <w:tc>
          <w:tcPr>
            <w:tcW w:w="719" w:type="dxa"/>
          </w:tcPr>
          <w:p w14:paraId="12F0EDDC">
            <w:pPr>
              <w:rPr>
                <w:rFonts w:ascii="Arial"/>
              </w:rPr>
            </w:pPr>
          </w:p>
        </w:tc>
        <w:tc>
          <w:tcPr>
            <w:tcW w:w="2521" w:type="dxa"/>
          </w:tcPr>
          <w:p w14:paraId="7F4A1C8E">
            <w:pPr>
              <w:rPr>
                <w:rFonts w:ascii="Arial"/>
              </w:rPr>
            </w:pPr>
          </w:p>
        </w:tc>
        <w:tc>
          <w:tcPr>
            <w:tcW w:w="676" w:type="dxa"/>
          </w:tcPr>
          <w:p w14:paraId="5C335B9B">
            <w:pPr>
              <w:rPr>
                <w:rFonts w:ascii="Arial"/>
              </w:rPr>
            </w:pPr>
          </w:p>
        </w:tc>
      </w:tr>
      <w:tr w14:paraId="5BA8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tcPr>
          <w:p w14:paraId="23356B86">
            <w:pPr>
              <w:rPr>
                <w:rFonts w:ascii="Arial"/>
              </w:rPr>
            </w:pPr>
          </w:p>
        </w:tc>
        <w:tc>
          <w:tcPr>
            <w:tcW w:w="720" w:type="dxa"/>
          </w:tcPr>
          <w:p w14:paraId="12977BEF">
            <w:pPr>
              <w:rPr>
                <w:rFonts w:ascii="Arial"/>
              </w:rPr>
            </w:pPr>
          </w:p>
        </w:tc>
        <w:tc>
          <w:tcPr>
            <w:tcW w:w="719" w:type="dxa"/>
          </w:tcPr>
          <w:p w14:paraId="0C816D4C">
            <w:pPr>
              <w:rPr>
                <w:rFonts w:ascii="Arial"/>
              </w:rPr>
            </w:pPr>
          </w:p>
        </w:tc>
        <w:tc>
          <w:tcPr>
            <w:tcW w:w="1080" w:type="dxa"/>
          </w:tcPr>
          <w:p w14:paraId="00EA6282">
            <w:pPr>
              <w:rPr>
                <w:rFonts w:ascii="Arial"/>
              </w:rPr>
            </w:pPr>
          </w:p>
        </w:tc>
        <w:tc>
          <w:tcPr>
            <w:tcW w:w="719" w:type="dxa"/>
          </w:tcPr>
          <w:p w14:paraId="3E422E7F">
            <w:pPr>
              <w:rPr>
                <w:rFonts w:ascii="Arial"/>
              </w:rPr>
            </w:pPr>
          </w:p>
        </w:tc>
        <w:tc>
          <w:tcPr>
            <w:tcW w:w="721" w:type="dxa"/>
          </w:tcPr>
          <w:p w14:paraId="510DA06A">
            <w:pPr>
              <w:rPr>
                <w:rFonts w:ascii="Arial"/>
              </w:rPr>
            </w:pPr>
          </w:p>
        </w:tc>
        <w:tc>
          <w:tcPr>
            <w:tcW w:w="719" w:type="dxa"/>
          </w:tcPr>
          <w:p w14:paraId="5D9E3C6A">
            <w:pPr>
              <w:rPr>
                <w:rFonts w:ascii="Arial"/>
              </w:rPr>
            </w:pPr>
          </w:p>
        </w:tc>
        <w:tc>
          <w:tcPr>
            <w:tcW w:w="2521" w:type="dxa"/>
          </w:tcPr>
          <w:p w14:paraId="491ACC9C">
            <w:pPr>
              <w:rPr>
                <w:rFonts w:ascii="Arial"/>
              </w:rPr>
            </w:pPr>
          </w:p>
        </w:tc>
        <w:tc>
          <w:tcPr>
            <w:tcW w:w="676" w:type="dxa"/>
          </w:tcPr>
          <w:p w14:paraId="7F81A931">
            <w:pPr>
              <w:rPr>
                <w:rFonts w:ascii="Arial"/>
              </w:rPr>
            </w:pPr>
          </w:p>
        </w:tc>
      </w:tr>
      <w:tr w14:paraId="37A3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60003F13">
            <w:pPr>
              <w:rPr>
                <w:rFonts w:ascii="Arial"/>
              </w:rPr>
            </w:pPr>
          </w:p>
        </w:tc>
        <w:tc>
          <w:tcPr>
            <w:tcW w:w="720" w:type="dxa"/>
          </w:tcPr>
          <w:p w14:paraId="36DBCA66">
            <w:pPr>
              <w:rPr>
                <w:rFonts w:ascii="Arial"/>
              </w:rPr>
            </w:pPr>
          </w:p>
        </w:tc>
        <w:tc>
          <w:tcPr>
            <w:tcW w:w="719" w:type="dxa"/>
          </w:tcPr>
          <w:p w14:paraId="2C509B40">
            <w:pPr>
              <w:rPr>
                <w:rFonts w:ascii="Arial"/>
              </w:rPr>
            </w:pPr>
          </w:p>
        </w:tc>
        <w:tc>
          <w:tcPr>
            <w:tcW w:w="1080" w:type="dxa"/>
          </w:tcPr>
          <w:p w14:paraId="13B517A3">
            <w:pPr>
              <w:rPr>
                <w:rFonts w:ascii="Arial"/>
              </w:rPr>
            </w:pPr>
          </w:p>
        </w:tc>
        <w:tc>
          <w:tcPr>
            <w:tcW w:w="719" w:type="dxa"/>
          </w:tcPr>
          <w:p w14:paraId="55B24802">
            <w:pPr>
              <w:rPr>
                <w:rFonts w:ascii="Arial"/>
              </w:rPr>
            </w:pPr>
          </w:p>
        </w:tc>
        <w:tc>
          <w:tcPr>
            <w:tcW w:w="721" w:type="dxa"/>
          </w:tcPr>
          <w:p w14:paraId="02CFD462">
            <w:pPr>
              <w:rPr>
                <w:rFonts w:ascii="Arial"/>
              </w:rPr>
            </w:pPr>
          </w:p>
        </w:tc>
        <w:tc>
          <w:tcPr>
            <w:tcW w:w="719" w:type="dxa"/>
          </w:tcPr>
          <w:p w14:paraId="693E76BE">
            <w:pPr>
              <w:rPr>
                <w:rFonts w:ascii="Arial"/>
              </w:rPr>
            </w:pPr>
          </w:p>
        </w:tc>
        <w:tc>
          <w:tcPr>
            <w:tcW w:w="2521" w:type="dxa"/>
          </w:tcPr>
          <w:p w14:paraId="218C7CE3">
            <w:pPr>
              <w:rPr>
                <w:rFonts w:ascii="Arial"/>
              </w:rPr>
            </w:pPr>
          </w:p>
        </w:tc>
        <w:tc>
          <w:tcPr>
            <w:tcW w:w="676" w:type="dxa"/>
          </w:tcPr>
          <w:p w14:paraId="4BF54EE9">
            <w:pPr>
              <w:rPr>
                <w:rFonts w:ascii="Arial"/>
              </w:rPr>
            </w:pPr>
          </w:p>
        </w:tc>
      </w:tr>
      <w:tr w14:paraId="6B13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3D213553">
            <w:pPr>
              <w:rPr>
                <w:rFonts w:ascii="Arial"/>
              </w:rPr>
            </w:pPr>
          </w:p>
        </w:tc>
        <w:tc>
          <w:tcPr>
            <w:tcW w:w="720" w:type="dxa"/>
          </w:tcPr>
          <w:p w14:paraId="075658AE">
            <w:pPr>
              <w:rPr>
                <w:rFonts w:ascii="Arial"/>
              </w:rPr>
            </w:pPr>
          </w:p>
        </w:tc>
        <w:tc>
          <w:tcPr>
            <w:tcW w:w="719" w:type="dxa"/>
          </w:tcPr>
          <w:p w14:paraId="74EC3FDE">
            <w:pPr>
              <w:rPr>
                <w:rFonts w:ascii="Arial"/>
              </w:rPr>
            </w:pPr>
          </w:p>
        </w:tc>
        <w:tc>
          <w:tcPr>
            <w:tcW w:w="1080" w:type="dxa"/>
          </w:tcPr>
          <w:p w14:paraId="5E803309">
            <w:pPr>
              <w:rPr>
                <w:rFonts w:ascii="Arial"/>
              </w:rPr>
            </w:pPr>
          </w:p>
        </w:tc>
        <w:tc>
          <w:tcPr>
            <w:tcW w:w="719" w:type="dxa"/>
          </w:tcPr>
          <w:p w14:paraId="72C1DABC">
            <w:pPr>
              <w:rPr>
                <w:rFonts w:ascii="Arial"/>
              </w:rPr>
            </w:pPr>
          </w:p>
        </w:tc>
        <w:tc>
          <w:tcPr>
            <w:tcW w:w="721" w:type="dxa"/>
          </w:tcPr>
          <w:p w14:paraId="6E3E52D5">
            <w:pPr>
              <w:rPr>
                <w:rFonts w:ascii="Arial"/>
              </w:rPr>
            </w:pPr>
          </w:p>
        </w:tc>
        <w:tc>
          <w:tcPr>
            <w:tcW w:w="719" w:type="dxa"/>
          </w:tcPr>
          <w:p w14:paraId="45364B8F">
            <w:pPr>
              <w:rPr>
                <w:rFonts w:ascii="Arial"/>
              </w:rPr>
            </w:pPr>
          </w:p>
        </w:tc>
        <w:tc>
          <w:tcPr>
            <w:tcW w:w="2521" w:type="dxa"/>
          </w:tcPr>
          <w:p w14:paraId="3C68559C">
            <w:pPr>
              <w:rPr>
                <w:rFonts w:ascii="Arial"/>
              </w:rPr>
            </w:pPr>
          </w:p>
        </w:tc>
        <w:tc>
          <w:tcPr>
            <w:tcW w:w="676" w:type="dxa"/>
          </w:tcPr>
          <w:p w14:paraId="4F52FAA6">
            <w:pPr>
              <w:rPr>
                <w:rFonts w:ascii="Arial"/>
              </w:rPr>
            </w:pPr>
          </w:p>
        </w:tc>
      </w:tr>
      <w:tr w14:paraId="6651A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tcPr>
          <w:p w14:paraId="6709FF65">
            <w:pPr>
              <w:rPr>
                <w:rFonts w:ascii="Arial"/>
              </w:rPr>
            </w:pPr>
          </w:p>
        </w:tc>
        <w:tc>
          <w:tcPr>
            <w:tcW w:w="720" w:type="dxa"/>
          </w:tcPr>
          <w:p w14:paraId="56100C5F">
            <w:pPr>
              <w:rPr>
                <w:rFonts w:ascii="Arial"/>
              </w:rPr>
            </w:pPr>
          </w:p>
        </w:tc>
        <w:tc>
          <w:tcPr>
            <w:tcW w:w="719" w:type="dxa"/>
          </w:tcPr>
          <w:p w14:paraId="022F83BA">
            <w:pPr>
              <w:rPr>
                <w:rFonts w:ascii="Arial"/>
              </w:rPr>
            </w:pPr>
          </w:p>
        </w:tc>
        <w:tc>
          <w:tcPr>
            <w:tcW w:w="1080" w:type="dxa"/>
          </w:tcPr>
          <w:p w14:paraId="4ACFF453">
            <w:pPr>
              <w:rPr>
                <w:rFonts w:ascii="Arial"/>
              </w:rPr>
            </w:pPr>
          </w:p>
        </w:tc>
        <w:tc>
          <w:tcPr>
            <w:tcW w:w="719" w:type="dxa"/>
          </w:tcPr>
          <w:p w14:paraId="6045B30B">
            <w:pPr>
              <w:rPr>
                <w:rFonts w:ascii="Arial"/>
              </w:rPr>
            </w:pPr>
          </w:p>
        </w:tc>
        <w:tc>
          <w:tcPr>
            <w:tcW w:w="721" w:type="dxa"/>
          </w:tcPr>
          <w:p w14:paraId="2BAEEE6E">
            <w:pPr>
              <w:rPr>
                <w:rFonts w:ascii="Arial"/>
              </w:rPr>
            </w:pPr>
          </w:p>
        </w:tc>
        <w:tc>
          <w:tcPr>
            <w:tcW w:w="719" w:type="dxa"/>
          </w:tcPr>
          <w:p w14:paraId="19767AA5">
            <w:pPr>
              <w:rPr>
                <w:rFonts w:ascii="Arial"/>
              </w:rPr>
            </w:pPr>
          </w:p>
        </w:tc>
        <w:tc>
          <w:tcPr>
            <w:tcW w:w="2521" w:type="dxa"/>
          </w:tcPr>
          <w:p w14:paraId="73F5CF87">
            <w:pPr>
              <w:rPr>
                <w:rFonts w:ascii="Arial"/>
              </w:rPr>
            </w:pPr>
          </w:p>
        </w:tc>
        <w:tc>
          <w:tcPr>
            <w:tcW w:w="676" w:type="dxa"/>
          </w:tcPr>
          <w:p w14:paraId="6C5C5E1E">
            <w:pPr>
              <w:rPr>
                <w:rFonts w:ascii="Arial"/>
              </w:rPr>
            </w:pPr>
          </w:p>
        </w:tc>
      </w:tr>
      <w:tr w14:paraId="3E90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1" w:type="dxa"/>
          </w:tcPr>
          <w:p w14:paraId="710C6995">
            <w:pPr>
              <w:rPr>
                <w:rFonts w:ascii="Arial"/>
              </w:rPr>
            </w:pPr>
          </w:p>
        </w:tc>
        <w:tc>
          <w:tcPr>
            <w:tcW w:w="720" w:type="dxa"/>
          </w:tcPr>
          <w:p w14:paraId="26B2D1A0">
            <w:pPr>
              <w:rPr>
                <w:rFonts w:ascii="Arial"/>
              </w:rPr>
            </w:pPr>
          </w:p>
        </w:tc>
        <w:tc>
          <w:tcPr>
            <w:tcW w:w="719" w:type="dxa"/>
          </w:tcPr>
          <w:p w14:paraId="7FB7DFDB">
            <w:pPr>
              <w:rPr>
                <w:rFonts w:ascii="Arial"/>
              </w:rPr>
            </w:pPr>
          </w:p>
        </w:tc>
        <w:tc>
          <w:tcPr>
            <w:tcW w:w="1080" w:type="dxa"/>
          </w:tcPr>
          <w:p w14:paraId="1BD12ADE">
            <w:pPr>
              <w:rPr>
                <w:rFonts w:ascii="Arial"/>
              </w:rPr>
            </w:pPr>
          </w:p>
        </w:tc>
        <w:tc>
          <w:tcPr>
            <w:tcW w:w="719" w:type="dxa"/>
          </w:tcPr>
          <w:p w14:paraId="5F7B493F">
            <w:pPr>
              <w:rPr>
                <w:rFonts w:ascii="Arial"/>
              </w:rPr>
            </w:pPr>
          </w:p>
        </w:tc>
        <w:tc>
          <w:tcPr>
            <w:tcW w:w="721" w:type="dxa"/>
          </w:tcPr>
          <w:p w14:paraId="4C064957">
            <w:pPr>
              <w:rPr>
                <w:rFonts w:ascii="Arial"/>
              </w:rPr>
            </w:pPr>
          </w:p>
        </w:tc>
        <w:tc>
          <w:tcPr>
            <w:tcW w:w="719" w:type="dxa"/>
          </w:tcPr>
          <w:p w14:paraId="792AC9E7">
            <w:pPr>
              <w:rPr>
                <w:rFonts w:ascii="Arial"/>
              </w:rPr>
            </w:pPr>
          </w:p>
        </w:tc>
        <w:tc>
          <w:tcPr>
            <w:tcW w:w="2521" w:type="dxa"/>
          </w:tcPr>
          <w:p w14:paraId="6ABB2C4A">
            <w:pPr>
              <w:rPr>
                <w:rFonts w:ascii="Arial"/>
              </w:rPr>
            </w:pPr>
          </w:p>
        </w:tc>
        <w:tc>
          <w:tcPr>
            <w:tcW w:w="676" w:type="dxa"/>
          </w:tcPr>
          <w:p w14:paraId="74629716">
            <w:pPr>
              <w:rPr>
                <w:rFonts w:ascii="Arial"/>
              </w:rPr>
            </w:pPr>
          </w:p>
        </w:tc>
      </w:tr>
    </w:tbl>
    <w:p w14:paraId="0B567D6A">
      <w:pPr>
        <w:pStyle w:val="9"/>
      </w:pPr>
    </w:p>
    <w:p w14:paraId="75D26D4E">
      <w:pPr>
        <w:sectPr>
          <w:footerReference r:id="rId13" w:type="default"/>
          <w:pgSz w:w="11906" w:h="16838"/>
          <w:pgMar w:top="1701" w:right="1531" w:bottom="1531" w:left="1531" w:header="0" w:footer="986" w:gutter="0"/>
          <w:cols w:space="0" w:num="1"/>
        </w:sectPr>
      </w:pPr>
    </w:p>
    <w:p w14:paraId="3E02D038">
      <w:pPr>
        <w:spacing w:line="360" w:lineRule="auto"/>
        <w:jc w:val="center"/>
        <w:rPr>
          <w:rFonts w:asciiTheme="minorEastAsia" w:hAnsiTheme="minorEastAsia" w:eastAsiaTheme="minorEastAsia" w:cstheme="minorEastAsia"/>
          <w:b/>
          <w:bCs/>
          <w:sz w:val="24"/>
          <w:szCs w:val="24"/>
        </w:rPr>
      </w:pPr>
      <w:bookmarkStart w:id="768" w:name="bookmark83"/>
      <w:bookmarkEnd w:id="768"/>
      <w:bookmarkStart w:id="769" w:name="bookmark84"/>
      <w:bookmarkEnd w:id="769"/>
      <w:r>
        <w:rPr>
          <w:rFonts w:hint="eastAsia" w:asciiTheme="minorEastAsia" w:hAnsiTheme="minorEastAsia" w:eastAsiaTheme="minorEastAsia" w:cstheme="minorEastAsia"/>
          <w:b/>
          <w:bCs/>
          <w:sz w:val="24"/>
          <w:szCs w:val="24"/>
        </w:rPr>
        <w:t>2.主要人员简历表</w:t>
      </w:r>
    </w:p>
    <w:p w14:paraId="0C6038B1">
      <w:pPr>
        <w:spacing w:line="360" w:lineRule="auto"/>
        <w:ind w:firstLine="50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“主要人员简历表</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”中的项目经理应附注册建造师证、安全考</w:t>
      </w:r>
      <w:r>
        <w:rPr>
          <w:rFonts w:hint="eastAsia" w:asciiTheme="minorEastAsia" w:hAnsiTheme="minorEastAsia" w:eastAsiaTheme="minorEastAsia" w:cstheme="minorEastAsia"/>
          <w:spacing w:val="6"/>
          <w:sz w:val="24"/>
          <w:szCs w:val="24"/>
        </w:rPr>
        <w:t>核合格证、身份证、劳动</w:t>
      </w:r>
      <w:r>
        <w:rPr>
          <w:rFonts w:hint="eastAsia" w:asciiTheme="minorEastAsia" w:hAnsiTheme="minorEastAsia" w:eastAsiaTheme="minorEastAsia" w:cstheme="minorEastAsia"/>
          <w:spacing w:val="7"/>
          <w:sz w:val="24"/>
          <w:szCs w:val="24"/>
        </w:rPr>
        <w:t>合同复印件；技术负责人应附身份证、劳动合同复印件；其他主要人员应各专业人员搭配合</w:t>
      </w:r>
      <w:r>
        <w:rPr>
          <w:rFonts w:hint="eastAsia" w:asciiTheme="minorEastAsia" w:hAnsiTheme="minorEastAsia" w:eastAsiaTheme="minorEastAsia" w:cstheme="minorEastAsia"/>
          <w:spacing w:val="9"/>
          <w:sz w:val="24"/>
          <w:szCs w:val="24"/>
        </w:rPr>
        <w:t>理，满足本工程需要，并附身份证、劳动合同复印件。</w:t>
      </w:r>
    </w:p>
    <w:tbl>
      <w:tblPr>
        <w:tblStyle w:val="6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359"/>
        <w:gridCol w:w="720"/>
        <w:gridCol w:w="926"/>
        <w:gridCol w:w="1064"/>
        <w:gridCol w:w="708"/>
        <w:gridCol w:w="1260"/>
        <w:gridCol w:w="161"/>
        <w:gridCol w:w="2138"/>
      </w:tblGrid>
      <w:tr w14:paraId="482D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90" w:type="dxa"/>
            <w:vAlign w:val="center"/>
          </w:tcPr>
          <w:p w14:paraId="560B9FF9">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姓  名</w:t>
            </w:r>
          </w:p>
        </w:tc>
        <w:tc>
          <w:tcPr>
            <w:tcW w:w="1079" w:type="dxa"/>
            <w:gridSpan w:val="2"/>
            <w:vAlign w:val="center"/>
          </w:tcPr>
          <w:p w14:paraId="0C6F5850">
            <w:pPr>
              <w:adjustRightInd w:val="0"/>
              <w:spacing w:line="288" w:lineRule="auto"/>
              <w:jc w:val="center"/>
              <w:rPr>
                <w:rFonts w:asciiTheme="minorEastAsia" w:hAnsiTheme="minorEastAsia" w:eastAsiaTheme="minorEastAsia" w:cstheme="minorEastAsia"/>
              </w:rPr>
            </w:pPr>
          </w:p>
        </w:tc>
        <w:tc>
          <w:tcPr>
            <w:tcW w:w="926" w:type="dxa"/>
            <w:vAlign w:val="center"/>
          </w:tcPr>
          <w:p w14:paraId="4DF8F991">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年 龄</w:t>
            </w:r>
          </w:p>
        </w:tc>
        <w:tc>
          <w:tcPr>
            <w:tcW w:w="1064" w:type="dxa"/>
            <w:vAlign w:val="center"/>
          </w:tcPr>
          <w:p w14:paraId="05BABE15">
            <w:pPr>
              <w:adjustRightInd w:val="0"/>
              <w:spacing w:line="288" w:lineRule="auto"/>
              <w:jc w:val="center"/>
              <w:rPr>
                <w:rFonts w:asciiTheme="minorEastAsia" w:hAnsiTheme="minorEastAsia" w:eastAsiaTheme="minorEastAsia" w:cstheme="minorEastAsia"/>
              </w:rPr>
            </w:pPr>
          </w:p>
        </w:tc>
        <w:tc>
          <w:tcPr>
            <w:tcW w:w="2129" w:type="dxa"/>
            <w:gridSpan w:val="3"/>
            <w:vAlign w:val="center"/>
          </w:tcPr>
          <w:p w14:paraId="2A774A9B">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学历</w:t>
            </w:r>
          </w:p>
        </w:tc>
        <w:tc>
          <w:tcPr>
            <w:tcW w:w="2138" w:type="dxa"/>
            <w:vAlign w:val="center"/>
          </w:tcPr>
          <w:p w14:paraId="2C516B92">
            <w:pPr>
              <w:adjustRightInd w:val="0"/>
              <w:spacing w:line="288" w:lineRule="auto"/>
              <w:jc w:val="center"/>
              <w:rPr>
                <w:rFonts w:asciiTheme="minorEastAsia" w:hAnsiTheme="minorEastAsia" w:eastAsiaTheme="minorEastAsia" w:cstheme="minorEastAsia"/>
              </w:rPr>
            </w:pPr>
          </w:p>
        </w:tc>
      </w:tr>
      <w:tr w14:paraId="5009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90" w:type="dxa"/>
            <w:vAlign w:val="center"/>
          </w:tcPr>
          <w:p w14:paraId="0F2871F6">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职  称</w:t>
            </w:r>
          </w:p>
        </w:tc>
        <w:tc>
          <w:tcPr>
            <w:tcW w:w="1079" w:type="dxa"/>
            <w:gridSpan w:val="2"/>
            <w:vAlign w:val="center"/>
          </w:tcPr>
          <w:p w14:paraId="3E8C1F4F">
            <w:pPr>
              <w:adjustRightInd w:val="0"/>
              <w:spacing w:line="288" w:lineRule="auto"/>
              <w:jc w:val="center"/>
              <w:rPr>
                <w:rFonts w:asciiTheme="minorEastAsia" w:hAnsiTheme="minorEastAsia" w:eastAsiaTheme="minorEastAsia" w:cstheme="minorEastAsia"/>
              </w:rPr>
            </w:pPr>
          </w:p>
        </w:tc>
        <w:tc>
          <w:tcPr>
            <w:tcW w:w="926" w:type="dxa"/>
            <w:vAlign w:val="center"/>
          </w:tcPr>
          <w:p w14:paraId="64966EC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职 务</w:t>
            </w:r>
          </w:p>
        </w:tc>
        <w:tc>
          <w:tcPr>
            <w:tcW w:w="1064" w:type="dxa"/>
            <w:vAlign w:val="center"/>
          </w:tcPr>
          <w:p w14:paraId="28FFEEBF">
            <w:pPr>
              <w:adjustRightInd w:val="0"/>
              <w:spacing w:line="288" w:lineRule="auto"/>
              <w:jc w:val="center"/>
              <w:rPr>
                <w:rFonts w:asciiTheme="minorEastAsia" w:hAnsiTheme="minorEastAsia" w:eastAsiaTheme="minorEastAsia" w:cstheme="minorEastAsia"/>
              </w:rPr>
            </w:pPr>
          </w:p>
        </w:tc>
        <w:tc>
          <w:tcPr>
            <w:tcW w:w="2129" w:type="dxa"/>
            <w:gridSpan w:val="3"/>
            <w:vAlign w:val="center"/>
          </w:tcPr>
          <w:p w14:paraId="1DFB982C">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拟在本合同任职</w:t>
            </w:r>
          </w:p>
        </w:tc>
        <w:tc>
          <w:tcPr>
            <w:tcW w:w="2138" w:type="dxa"/>
            <w:vAlign w:val="center"/>
          </w:tcPr>
          <w:p w14:paraId="5CD3DCCA">
            <w:pPr>
              <w:adjustRightInd w:val="0"/>
              <w:spacing w:line="288" w:lineRule="auto"/>
              <w:jc w:val="center"/>
              <w:rPr>
                <w:rFonts w:asciiTheme="minorEastAsia" w:hAnsiTheme="minorEastAsia" w:eastAsiaTheme="minorEastAsia" w:cstheme="minorEastAsia"/>
              </w:rPr>
            </w:pPr>
          </w:p>
        </w:tc>
      </w:tr>
      <w:tr w14:paraId="2D24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90" w:type="dxa"/>
            <w:vAlign w:val="center"/>
          </w:tcPr>
          <w:p w14:paraId="5D1CF503">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毕业学校</w:t>
            </w:r>
          </w:p>
        </w:tc>
        <w:tc>
          <w:tcPr>
            <w:tcW w:w="7336" w:type="dxa"/>
            <w:gridSpan w:val="8"/>
            <w:vAlign w:val="center"/>
          </w:tcPr>
          <w:p w14:paraId="382E7E92">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年毕业于            学校        专业</w:t>
            </w:r>
          </w:p>
        </w:tc>
      </w:tr>
      <w:tr w14:paraId="39F5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26" w:type="dxa"/>
            <w:gridSpan w:val="9"/>
            <w:vAlign w:val="center"/>
          </w:tcPr>
          <w:p w14:paraId="3CF9B07D">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主要工作经历</w:t>
            </w:r>
          </w:p>
        </w:tc>
      </w:tr>
      <w:tr w14:paraId="7751B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9" w:type="dxa"/>
            <w:gridSpan w:val="2"/>
            <w:vAlign w:val="center"/>
          </w:tcPr>
          <w:p w14:paraId="70D4835E">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时  间</w:t>
            </w:r>
          </w:p>
        </w:tc>
        <w:tc>
          <w:tcPr>
            <w:tcW w:w="3418" w:type="dxa"/>
            <w:gridSpan w:val="4"/>
            <w:vAlign w:val="center"/>
          </w:tcPr>
          <w:p w14:paraId="14254AE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参加过的类似项目</w:t>
            </w:r>
          </w:p>
        </w:tc>
        <w:tc>
          <w:tcPr>
            <w:tcW w:w="1260" w:type="dxa"/>
            <w:vAlign w:val="center"/>
          </w:tcPr>
          <w:p w14:paraId="28CE5358">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担任职务</w:t>
            </w:r>
          </w:p>
        </w:tc>
        <w:tc>
          <w:tcPr>
            <w:tcW w:w="2299" w:type="dxa"/>
            <w:gridSpan w:val="2"/>
            <w:vAlign w:val="center"/>
          </w:tcPr>
          <w:p w14:paraId="6B5F2F70">
            <w:pPr>
              <w:adjustRightInd w:val="0"/>
              <w:spacing w:line="288"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发包人及联系电话</w:t>
            </w:r>
          </w:p>
        </w:tc>
      </w:tr>
      <w:tr w14:paraId="04DB5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tcPr>
          <w:p w14:paraId="53A6C9D1">
            <w:pPr>
              <w:rPr>
                <w:rFonts w:ascii="Arial"/>
              </w:rPr>
            </w:pPr>
          </w:p>
        </w:tc>
        <w:tc>
          <w:tcPr>
            <w:tcW w:w="3418" w:type="dxa"/>
            <w:gridSpan w:val="4"/>
          </w:tcPr>
          <w:p w14:paraId="1019A530">
            <w:pPr>
              <w:rPr>
                <w:rFonts w:ascii="Arial"/>
              </w:rPr>
            </w:pPr>
          </w:p>
        </w:tc>
        <w:tc>
          <w:tcPr>
            <w:tcW w:w="1260" w:type="dxa"/>
          </w:tcPr>
          <w:p w14:paraId="6E61F612">
            <w:pPr>
              <w:rPr>
                <w:rFonts w:ascii="Arial"/>
              </w:rPr>
            </w:pPr>
          </w:p>
        </w:tc>
        <w:tc>
          <w:tcPr>
            <w:tcW w:w="2299" w:type="dxa"/>
            <w:gridSpan w:val="2"/>
          </w:tcPr>
          <w:p w14:paraId="29B294ED">
            <w:pPr>
              <w:rPr>
                <w:rFonts w:ascii="Arial"/>
              </w:rPr>
            </w:pPr>
          </w:p>
        </w:tc>
      </w:tr>
      <w:tr w14:paraId="5E10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14:paraId="58AA63EB">
            <w:pPr>
              <w:rPr>
                <w:rFonts w:ascii="Arial"/>
              </w:rPr>
            </w:pPr>
          </w:p>
        </w:tc>
        <w:tc>
          <w:tcPr>
            <w:tcW w:w="3418" w:type="dxa"/>
            <w:gridSpan w:val="4"/>
          </w:tcPr>
          <w:p w14:paraId="577A9A98">
            <w:pPr>
              <w:rPr>
                <w:rFonts w:ascii="Arial"/>
              </w:rPr>
            </w:pPr>
          </w:p>
        </w:tc>
        <w:tc>
          <w:tcPr>
            <w:tcW w:w="1260" w:type="dxa"/>
          </w:tcPr>
          <w:p w14:paraId="62D5DE38">
            <w:pPr>
              <w:rPr>
                <w:rFonts w:ascii="Arial"/>
              </w:rPr>
            </w:pPr>
          </w:p>
        </w:tc>
        <w:tc>
          <w:tcPr>
            <w:tcW w:w="2299" w:type="dxa"/>
            <w:gridSpan w:val="2"/>
          </w:tcPr>
          <w:p w14:paraId="0B6AF98B">
            <w:pPr>
              <w:rPr>
                <w:rFonts w:ascii="Arial"/>
              </w:rPr>
            </w:pPr>
          </w:p>
        </w:tc>
      </w:tr>
      <w:tr w14:paraId="13F0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tcPr>
          <w:p w14:paraId="0073B04A">
            <w:pPr>
              <w:rPr>
                <w:rFonts w:ascii="Arial"/>
              </w:rPr>
            </w:pPr>
          </w:p>
        </w:tc>
        <w:tc>
          <w:tcPr>
            <w:tcW w:w="3418" w:type="dxa"/>
            <w:gridSpan w:val="4"/>
          </w:tcPr>
          <w:p w14:paraId="1C54D606">
            <w:pPr>
              <w:rPr>
                <w:rFonts w:ascii="Arial"/>
              </w:rPr>
            </w:pPr>
          </w:p>
        </w:tc>
        <w:tc>
          <w:tcPr>
            <w:tcW w:w="1260" w:type="dxa"/>
          </w:tcPr>
          <w:p w14:paraId="73271CCB">
            <w:pPr>
              <w:rPr>
                <w:rFonts w:ascii="Arial"/>
              </w:rPr>
            </w:pPr>
          </w:p>
        </w:tc>
        <w:tc>
          <w:tcPr>
            <w:tcW w:w="2299" w:type="dxa"/>
            <w:gridSpan w:val="2"/>
          </w:tcPr>
          <w:p w14:paraId="6B50C708">
            <w:pPr>
              <w:rPr>
                <w:rFonts w:ascii="Arial"/>
              </w:rPr>
            </w:pPr>
          </w:p>
        </w:tc>
      </w:tr>
      <w:tr w14:paraId="2F859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tcPr>
          <w:p w14:paraId="7AA95382">
            <w:pPr>
              <w:rPr>
                <w:rFonts w:ascii="Arial"/>
              </w:rPr>
            </w:pPr>
          </w:p>
        </w:tc>
        <w:tc>
          <w:tcPr>
            <w:tcW w:w="3418" w:type="dxa"/>
            <w:gridSpan w:val="4"/>
          </w:tcPr>
          <w:p w14:paraId="245FA8A8">
            <w:pPr>
              <w:rPr>
                <w:rFonts w:ascii="Arial"/>
              </w:rPr>
            </w:pPr>
          </w:p>
        </w:tc>
        <w:tc>
          <w:tcPr>
            <w:tcW w:w="1260" w:type="dxa"/>
          </w:tcPr>
          <w:p w14:paraId="5A6091D2">
            <w:pPr>
              <w:rPr>
                <w:rFonts w:ascii="Arial"/>
              </w:rPr>
            </w:pPr>
          </w:p>
        </w:tc>
        <w:tc>
          <w:tcPr>
            <w:tcW w:w="2299" w:type="dxa"/>
            <w:gridSpan w:val="2"/>
          </w:tcPr>
          <w:p w14:paraId="4F62266B">
            <w:pPr>
              <w:rPr>
                <w:rFonts w:ascii="Arial"/>
              </w:rPr>
            </w:pPr>
          </w:p>
        </w:tc>
      </w:tr>
      <w:tr w14:paraId="1455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14:paraId="2A574F0D">
            <w:pPr>
              <w:rPr>
                <w:rFonts w:ascii="Arial"/>
              </w:rPr>
            </w:pPr>
          </w:p>
        </w:tc>
        <w:tc>
          <w:tcPr>
            <w:tcW w:w="3418" w:type="dxa"/>
            <w:gridSpan w:val="4"/>
          </w:tcPr>
          <w:p w14:paraId="4F7F5A93">
            <w:pPr>
              <w:rPr>
                <w:rFonts w:ascii="Arial"/>
              </w:rPr>
            </w:pPr>
          </w:p>
        </w:tc>
        <w:tc>
          <w:tcPr>
            <w:tcW w:w="1260" w:type="dxa"/>
          </w:tcPr>
          <w:p w14:paraId="6C21E568">
            <w:pPr>
              <w:rPr>
                <w:rFonts w:ascii="Arial"/>
              </w:rPr>
            </w:pPr>
          </w:p>
        </w:tc>
        <w:tc>
          <w:tcPr>
            <w:tcW w:w="2299" w:type="dxa"/>
            <w:gridSpan w:val="2"/>
          </w:tcPr>
          <w:p w14:paraId="0AC24794">
            <w:pPr>
              <w:rPr>
                <w:rFonts w:ascii="Arial"/>
              </w:rPr>
            </w:pPr>
          </w:p>
        </w:tc>
      </w:tr>
      <w:tr w14:paraId="2A6BF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14:paraId="5F5A8014">
            <w:pPr>
              <w:rPr>
                <w:rFonts w:ascii="Arial"/>
              </w:rPr>
            </w:pPr>
          </w:p>
        </w:tc>
        <w:tc>
          <w:tcPr>
            <w:tcW w:w="3418" w:type="dxa"/>
            <w:gridSpan w:val="4"/>
          </w:tcPr>
          <w:p w14:paraId="6FE89CFA">
            <w:pPr>
              <w:rPr>
                <w:rFonts w:ascii="Arial"/>
              </w:rPr>
            </w:pPr>
          </w:p>
        </w:tc>
        <w:tc>
          <w:tcPr>
            <w:tcW w:w="1260" w:type="dxa"/>
          </w:tcPr>
          <w:p w14:paraId="6E299896">
            <w:pPr>
              <w:rPr>
                <w:rFonts w:ascii="Arial"/>
              </w:rPr>
            </w:pPr>
          </w:p>
        </w:tc>
        <w:tc>
          <w:tcPr>
            <w:tcW w:w="2299" w:type="dxa"/>
            <w:gridSpan w:val="2"/>
          </w:tcPr>
          <w:p w14:paraId="4F182CC1">
            <w:pPr>
              <w:rPr>
                <w:rFonts w:ascii="Arial"/>
              </w:rPr>
            </w:pPr>
          </w:p>
        </w:tc>
      </w:tr>
      <w:tr w14:paraId="4A02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14:paraId="30700097">
            <w:pPr>
              <w:rPr>
                <w:rFonts w:ascii="Arial"/>
              </w:rPr>
            </w:pPr>
          </w:p>
        </w:tc>
        <w:tc>
          <w:tcPr>
            <w:tcW w:w="3418" w:type="dxa"/>
            <w:gridSpan w:val="4"/>
          </w:tcPr>
          <w:p w14:paraId="69D86BBE">
            <w:pPr>
              <w:rPr>
                <w:rFonts w:ascii="Arial"/>
              </w:rPr>
            </w:pPr>
          </w:p>
        </w:tc>
        <w:tc>
          <w:tcPr>
            <w:tcW w:w="1260" w:type="dxa"/>
          </w:tcPr>
          <w:p w14:paraId="0BC53732">
            <w:pPr>
              <w:rPr>
                <w:rFonts w:ascii="Arial"/>
              </w:rPr>
            </w:pPr>
          </w:p>
        </w:tc>
        <w:tc>
          <w:tcPr>
            <w:tcW w:w="2299" w:type="dxa"/>
            <w:gridSpan w:val="2"/>
          </w:tcPr>
          <w:p w14:paraId="2F448684">
            <w:pPr>
              <w:rPr>
                <w:rFonts w:ascii="Arial"/>
              </w:rPr>
            </w:pPr>
          </w:p>
        </w:tc>
      </w:tr>
      <w:tr w14:paraId="2CB6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9" w:type="dxa"/>
            <w:gridSpan w:val="2"/>
          </w:tcPr>
          <w:p w14:paraId="373332E4">
            <w:pPr>
              <w:rPr>
                <w:rFonts w:ascii="Arial"/>
              </w:rPr>
            </w:pPr>
          </w:p>
        </w:tc>
        <w:tc>
          <w:tcPr>
            <w:tcW w:w="3418" w:type="dxa"/>
            <w:gridSpan w:val="4"/>
          </w:tcPr>
          <w:p w14:paraId="6CE1A6DF">
            <w:pPr>
              <w:rPr>
                <w:rFonts w:ascii="Arial"/>
              </w:rPr>
            </w:pPr>
          </w:p>
        </w:tc>
        <w:tc>
          <w:tcPr>
            <w:tcW w:w="1260" w:type="dxa"/>
          </w:tcPr>
          <w:p w14:paraId="5CDDD1A1">
            <w:pPr>
              <w:rPr>
                <w:rFonts w:ascii="Arial"/>
              </w:rPr>
            </w:pPr>
          </w:p>
        </w:tc>
        <w:tc>
          <w:tcPr>
            <w:tcW w:w="2299" w:type="dxa"/>
            <w:gridSpan w:val="2"/>
          </w:tcPr>
          <w:p w14:paraId="4FF65C0D">
            <w:pPr>
              <w:rPr>
                <w:rFonts w:ascii="Arial"/>
              </w:rPr>
            </w:pPr>
          </w:p>
        </w:tc>
      </w:tr>
      <w:tr w14:paraId="32D7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tcPr>
          <w:p w14:paraId="00DB7AC6">
            <w:pPr>
              <w:rPr>
                <w:rFonts w:ascii="Arial"/>
              </w:rPr>
            </w:pPr>
          </w:p>
        </w:tc>
        <w:tc>
          <w:tcPr>
            <w:tcW w:w="3418" w:type="dxa"/>
            <w:gridSpan w:val="4"/>
          </w:tcPr>
          <w:p w14:paraId="7C12BB7B">
            <w:pPr>
              <w:rPr>
                <w:rFonts w:ascii="Arial"/>
              </w:rPr>
            </w:pPr>
          </w:p>
        </w:tc>
        <w:tc>
          <w:tcPr>
            <w:tcW w:w="1260" w:type="dxa"/>
          </w:tcPr>
          <w:p w14:paraId="5497A27E">
            <w:pPr>
              <w:rPr>
                <w:rFonts w:ascii="Arial"/>
              </w:rPr>
            </w:pPr>
          </w:p>
        </w:tc>
        <w:tc>
          <w:tcPr>
            <w:tcW w:w="2299" w:type="dxa"/>
            <w:gridSpan w:val="2"/>
          </w:tcPr>
          <w:p w14:paraId="7FD0B991">
            <w:pPr>
              <w:rPr>
                <w:rFonts w:ascii="Arial"/>
              </w:rPr>
            </w:pPr>
          </w:p>
        </w:tc>
      </w:tr>
    </w:tbl>
    <w:p w14:paraId="3F709983">
      <w:pPr>
        <w:spacing w:line="360" w:lineRule="auto"/>
        <w:ind w:firstLine="48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0"/>
          <w:sz w:val="22"/>
          <w:szCs w:val="22"/>
        </w:rPr>
        <w:t>注：若项目经理为一级建造师，根据《全面实行一级建造师电子注册证书的通知》</w:t>
      </w:r>
      <w:r>
        <w:rPr>
          <w:rFonts w:hint="eastAsia" w:asciiTheme="minorEastAsia" w:hAnsiTheme="minorEastAsia" w:eastAsiaTheme="minorEastAsia" w:cstheme="minorEastAsia"/>
          <w:spacing w:val="-78"/>
          <w:sz w:val="22"/>
          <w:szCs w:val="22"/>
        </w:rPr>
        <w:t xml:space="preserve"> </w:t>
      </w:r>
      <w:r>
        <w:rPr>
          <w:rFonts w:hint="eastAsia" w:asciiTheme="minorEastAsia" w:hAnsiTheme="minorEastAsia" w:eastAsiaTheme="minorEastAsia" w:cstheme="minorEastAsia"/>
          <w:b/>
          <w:bCs/>
          <w:spacing w:val="10"/>
          <w:sz w:val="22"/>
          <w:szCs w:val="22"/>
        </w:rPr>
        <w:t>（建办</w:t>
      </w:r>
      <w:r>
        <w:rPr>
          <w:rFonts w:hint="eastAsia" w:asciiTheme="minorEastAsia" w:hAnsiTheme="minorEastAsia" w:eastAsiaTheme="minorEastAsia" w:cstheme="minorEastAsia"/>
          <w:b/>
          <w:bCs/>
          <w:spacing w:val="7"/>
          <w:sz w:val="22"/>
          <w:szCs w:val="22"/>
        </w:rPr>
        <w:t>市〔2021〕40</w:t>
      </w:r>
      <w:r>
        <w:rPr>
          <w:rFonts w:hint="eastAsia" w:asciiTheme="minorEastAsia" w:hAnsiTheme="minorEastAsia" w:eastAsiaTheme="minorEastAsia" w:cstheme="minorEastAsia"/>
          <w:b/>
          <w:bCs/>
          <w:spacing w:val="22"/>
          <w:w w:val="101"/>
          <w:sz w:val="22"/>
          <w:szCs w:val="22"/>
        </w:rPr>
        <w:t xml:space="preserve"> </w:t>
      </w:r>
      <w:r>
        <w:rPr>
          <w:rFonts w:hint="eastAsia" w:asciiTheme="minorEastAsia" w:hAnsiTheme="minorEastAsia" w:eastAsiaTheme="minorEastAsia" w:cstheme="minorEastAsia"/>
          <w:b/>
          <w:bCs/>
          <w:spacing w:val="7"/>
          <w:sz w:val="22"/>
          <w:szCs w:val="22"/>
        </w:rPr>
        <w:t>号）要求，应提供在有效期内带个人签名处手写签名的电子证书。</w:t>
      </w:r>
    </w:p>
    <w:p w14:paraId="3ADC7EFD">
      <w:pPr>
        <w:spacing w:line="360" w:lineRule="auto"/>
        <w:ind w:firstLine="486"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1"/>
          <w:sz w:val="22"/>
          <w:szCs w:val="22"/>
        </w:rPr>
        <w:t>一级建造师打印电子证书后，应在个人签名处手写本</w:t>
      </w:r>
      <w:r>
        <w:rPr>
          <w:rFonts w:hint="eastAsia" w:asciiTheme="minorEastAsia" w:hAnsiTheme="minorEastAsia" w:eastAsiaTheme="minorEastAsia" w:cstheme="minorEastAsia"/>
          <w:b/>
          <w:bCs/>
          <w:spacing w:val="10"/>
          <w:sz w:val="22"/>
          <w:szCs w:val="22"/>
        </w:rPr>
        <w:t>人签名，未手写签名或与签名图</w:t>
      </w:r>
      <w:r>
        <w:rPr>
          <w:rFonts w:hint="eastAsia" w:asciiTheme="minorEastAsia" w:hAnsiTheme="minorEastAsia" w:eastAsiaTheme="minorEastAsia" w:cstheme="minorEastAsia"/>
          <w:b/>
          <w:bCs/>
          <w:spacing w:val="7"/>
          <w:sz w:val="22"/>
          <w:szCs w:val="22"/>
        </w:rPr>
        <w:t>像笔迹不一致的，该电子证书无效。</w:t>
      </w:r>
    </w:p>
    <w:p w14:paraId="773F1DE2">
      <w:pPr>
        <w:spacing w:line="273" w:lineRule="auto"/>
        <w:rPr>
          <w:rFonts w:ascii="宋体" w:hAnsi="宋体" w:cs="宋体"/>
          <w:sz w:val="20"/>
          <w:szCs w:val="20"/>
        </w:rPr>
        <w:sectPr>
          <w:footerReference r:id="rId14" w:type="default"/>
          <w:pgSz w:w="11906" w:h="16838"/>
          <w:pgMar w:top="1701" w:right="1531" w:bottom="1531" w:left="1531" w:header="0" w:footer="986" w:gutter="0"/>
          <w:cols w:space="0" w:num="1"/>
        </w:sectPr>
      </w:pPr>
    </w:p>
    <w:p w14:paraId="2E01FAD8">
      <w:pPr>
        <w:spacing w:line="360" w:lineRule="auto"/>
        <w:jc w:val="center"/>
        <w:rPr>
          <w:b/>
          <w:bCs/>
          <w:sz w:val="28"/>
          <w:szCs w:val="28"/>
        </w:rPr>
      </w:pPr>
      <w:bookmarkStart w:id="770" w:name="bookmark85"/>
      <w:bookmarkEnd w:id="770"/>
      <w:bookmarkStart w:id="771" w:name="bookmark88"/>
      <w:bookmarkEnd w:id="771"/>
      <w:bookmarkStart w:id="772" w:name="bookmark86"/>
      <w:bookmarkEnd w:id="772"/>
      <w:r>
        <w:rPr>
          <w:rFonts w:hint="eastAsia"/>
          <w:b/>
          <w:bCs/>
          <w:sz w:val="28"/>
          <w:szCs w:val="28"/>
        </w:rPr>
        <w:t>八、资格审查资料</w:t>
      </w:r>
    </w:p>
    <w:p w14:paraId="16B8FC77">
      <w:pPr>
        <w:spacing w:line="360" w:lineRule="auto"/>
        <w:jc w:val="center"/>
        <w:rPr>
          <w:rFonts w:asciiTheme="minorEastAsia" w:hAnsiTheme="minorEastAsia" w:eastAsiaTheme="minorEastAsia" w:cstheme="minorEastAsia"/>
          <w:b/>
          <w:bCs/>
          <w:sz w:val="24"/>
          <w:szCs w:val="24"/>
        </w:rPr>
      </w:pPr>
      <w:bookmarkStart w:id="773" w:name="bookmark87"/>
      <w:bookmarkEnd w:id="773"/>
      <w:r>
        <w:rPr>
          <w:rFonts w:hint="eastAsia" w:asciiTheme="minorEastAsia" w:hAnsiTheme="minorEastAsia" w:eastAsiaTheme="minorEastAsia" w:cstheme="minorEastAsia"/>
          <w:b/>
          <w:bCs/>
          <w:sz w:val="24"/>
          <w:szCs w:val="24"/>
        </w:rPr>
        <w:t>1.供应商基本情况表</w:t>
      </w:r>
    </w:p>
    <w:p w14:paraId="5F6FF31C">
      <w:pPr>
        <w:spacing w:line="119" w:lineRule="exact"/>
      </w:pPr>
    </w:p>
    <w:tbl>
      <w:tblPr>
        <w:tblStyle w:val="64"/>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950"/>
        <w:gridCol w:w="840"/>
        <w:gridCol w:w="420"/>
        <w:gridCol w:w="311"/>
        <w:gridCol w:w="1077"/>
        <w:gridCol w:w="490"/>
        <w:gridCol w:w="859"/>
        <w:gridCol w:w="996"/>
      </w:tblGrid>
      <w:tr w14:paraId="7C326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center"/>
          </w:tcPr>
          <w:p w14:paraId="16610C66">
            <w:pPr>
              <w:pStyle w:val="63"/>
              <w:spacing w:line="227" w:lineRule="auto"/>
              <w:jc w:val="center"/>
            </w:pPr>
            <w:r>
              <w:rPr>
                <w:spacing w:val="8"/>
              </w:rPr>
              <w:t>供应商名称</w:t>
            </w:r>
          </w:p>
        </w:tc>
        <w:tc>
          <w:tcPr>
            <w:tcW w:w="6840" w:type="dxa"/>
            <w:gridSpan w:val="9"/>
            <w:vAlign w:val="center"/>
          </w:tcPr>
          <w:p w14:paraId="752F1572">
            <w:pPr>
              <w:jc w:val="center"/>
              <w:rPr>
                <w:rFonts w:ascii="Arial"/>
              </w:rPr>
            </w:pPr>
          </w:p>
        </w:tc>
      </w:tr>
      <w:tr w14:paraId="3B9A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center"/>
          </w:tcPr>
          <w:p w14:paraId="328C7BD1">
            <w:pPr>
              <w:pStyle w:val="63"/>
              <w:spacing w:line="229" w:lineRule="auto"/>
              <w:jc w:val="center"/>
            </w:pPr>
            <w:r>
              <w:rPr>
                <w:spacing w:val="7"/>
              </w:rPr>
              <w:t>注册地址</w:t>
            </w:r>
          </w:p>
        </w:tc>
        <w:tc>
          <w:tcPr>
            <w:tcW w:w="3418" w:type="dxa"/>
            <w:gridSpan w:val="5"/>
            <w:vAlign w:val="center"/>
          </w:tcPr>
          <w:p w14:paraId="3FA65FD5">
            <w:pPr>
              <w:jc w:val="center"/>
              <w:rPr>
                <w:rFonts w:ascii="Arial"/>
              </w:rPr>
            </w:pPr>
          </w:p>
        </w:tc>
        <w:tc>
          <w:tcPr>
            <w:tcW w:w="1077" w:type="dxa"/>
            <w:vAlign w:val="center"/>
          </w:tcPr>
          <w:p w14:paraId="11D38F8C">
            <w:pPr>
              <w:pStyle w:val="63"/>
              <w:spacing w:line="228" w:lineRule="auto"/>
              <w:jc w:val="center"/>
            </w:pPr>
            <w:r>
              <w:rPr>
                <w:spacing w:val="3"/>
              </w:rPr>
              <w:t>邮政编码</w:t>
            </w:r>
          </w:p>
        </w:tc>
        <w:tc>
          <w:tcPr>
            <w:tcW w:w="2345" w:type="dxa"/>
            <w:gridSpan w:val="3"/>
            <w:vAlign w:val="center"/>
          </w:tcPr>
          <w:p w14:paraId="188285E0">
            <w:pPr>
              <w:jc w:val="center"/>
              <w:rPr>
                <w:rFonts w:ascii="Arial"/>
              </w:rPr>
            </w:pPr>
          </w:p>
        </w:tc>
      </w:tr>
      <w:tr w14:paraId="1B57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center"/>
          </w:tcPr>
          <w:p w14:paraId="4298140C">
            <w:pPr>
              <w:pStyle w:val="63"/>
              <w:spacing w:line="229" w:lineRule="auto"/>
              <w:jc w:val="center"/>
            </w:pPr>
            <w:r>
              <w:rPr>
                <w:spacing w:val="7"/>
              </w:rPr>
              <w:t>联系方式</w:t>
            </w:r>
          </w:p>
        </w:tc>
        <w:tc>
          <w:tcPr>
            <w:tcW w:w="897" w:type="dxa"/>
            <w:vAlign w:val="center"/>
          </w:tcPr>
          <w:p w14:paraId="76D1D37E">
            <w:pPr>
              <w:pStyle w:val="63"/>
              <w:spacing w:line="230" w:lineRule="auto"/>
              <w:jc w:val="center"/>
            </w:pPr>
            <w:r>
              <w:rPr>
                <w:spacing w:val="6"/>
              </w:rPr>
              <w:t>联系人</w:t>
            </w:r>
          </w:p>
        </w:tc>
        <w:tc>
          <w:tcPr>
            <w:tcW w:w="2521" w:type="dxa"/>
            <w:gridSpan w:val="4"/>
            <w:vAlign w:val="center"/>
          </w:tcPr>
          <w:p w14:paraId="256B0014">
            <w:pPr>
              <w:jc w:val="center"/>
              <w:rPr>
                <w:rFonts w:ascii="Arial"/>
              </w:rPr>
            </w:pPr>
          </w:p>
        </w:tc>
        <w:tc>
          <w:tcPr>
            <w:tcW w:w="1077" w:type="dxa"/>
            <w:vAlign w:val="center"/>
          </w:tcPr>
          <w:p w14:paraId="1D0D5F6C">
            <w:pPr>
              <w:pStyle w:val="63"/>
              <w:spacing w:line="230" w:lineRule="auto"/>
              <w:jc w:val="center"/>
            </w:pPr>
            <w:r>
              <w:rPr>
                <w:spacing w:val="-8"/>
              </w:rPr>
              <w:t>电话</w:t>
            </w:r>
          </w:p>
        </w:tc>
        <w:tc>
          <w:tcPr>
            <w:tcW w:w="2345" w:type="dxa"/>
            <w:gridSpan w:val="3"/>
            <w:vAlign w:val="center"/>
          </w:tcPr>
          <w:p w14:paraId="0A20028F">
            <w:pPr>
              <w:jc w:val="center"/>
              <w:rPr>
                <w:rFonts w:ascii="Arial"/>
              </w:rPr>
            </w:pPr>
          </w:p>
        </w:tc>
      </w:tr>
      <w:tr w14:paraId="6965B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center"/>
          </w:tcPr>
          <w:p w14:paraId="398958DF">
            <w:pPr>
              <w:jc w:val="center"/>
              <w:rPr>
                <w:rFonts w:ascii="Arial"/>
              </w:rPr>
            </w:pPr>
          </w:p>
        </w:tc>
        <w:tc>
          <w:tcPr>
            <w:tcW w:w="897" w:type="dxa"/>
            <w:vAlign w:val="center"/>
          </w:tcPr>
          <w:p w14:paraId="6A5BCE02">
            <w:pPr>
              <w:pStyle w:val="63"/>
              <w:spacing w:line="227" w:lineRule="auto"/>
              <w:jc w:val="center"/>
            </w:pPr>
            <w:r>
              <w:rPr>
                <w:spacing w:val="5"/>
              </w:rPr>
              <w:t>传真</w:t>
            </w:r>
          </w:p>
        </w:tc>
        <w:tc>
          <w:tcPr>
            <w:tcW w:w="2521" w:type="dxa"/>
            <w:gridSpan w:val="4"/>
            <w:vAlign w:val="center"/>
          </w:tcPr>
          <w:p w14:paraId="3AE33986">
            <w:pPr>
              <w:jc w:val="center"/>
              <w:rPr>
                <w:rFonts w:ascii="Arial"/>
              </w:rPr>
            </w:pPr>
          </w:p>
        </w:tc>
        <w:tc>
          <w:tcPr>
            <w:tcW w:w="1077" w:type="dxa"/>
            <w:vAlign w:val="center"/>
          </w:tcPr>
          <w:p w14:paraId="30681F39">
            <w:pPr>
              <w:pStyle w:val="63"/>
              <w:spacing w:line="233" w:lineRule="auto"/>
              <w:jc w:val="center"/>
            </w:pPr>
            <w:r>
              <w:rPr>
                <w:spacing w:val="-4"/>
              </w:rPr>
              <w:t>网址</w:t>
            </w:r>
          </w:p>
        </w:tc>
        <w:tc>
          <w:tcPr>
            <w:tcW w:w="2345" w:type="dxa"/>
            <w:gridSpan w:val="3"/>
            <w:vAlign w:val="center"/>
          </w:tcPr>
          <w:p w14:paraId="27C3E671">
            <w:pPr>
              <w:jc w:val="center"/>
              <w:rPr>
                <w:rFonts w:ascii="Arial"/>
              </w:rPr>
            </w:pPr>
          </w:p>
        </w:tc>
      </w:tr>
      <w:tr w14:paraId="0A30F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center"/>
          </w:tcPr>
          <w:p w14:paraId="6A55EE19">
            <w:pPr>
              <w:pStyle w:val="63"/>
              <w:spacing w:line="228" w:lineRule="auto"/>
              <w:jc w:val="center"/>
            </w:pPr>
            <w:r>
              <w:rPr>
                <w:spacing w:val="6"/>
              </w:rPr>
              <w:t>组织结构</w:t>
            </w:r>
          </w:p>
        </w:tc>
        <w:tc>
          <w:tcPr>
            <w:tcW w:w="6840" w:type="dxa"/>
            <w:gridSpan w:val="9"/>
            <w:vAlign w:val="center"/>
          </w:tcPr>
          <w:p w14:paraId="65EB7817">
            <w:pPr>
              <w:jc w:val="center"/>
              <w:rPr>
                <w:rFonts w:ascii="Arial"/>
              </w:rPr>
            </w:pPr>
          </w:p>
        </w:tc>
      </w:tr>
      <w:tr w14:paraId="544DF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center"/>
          </w:tcPr>
          <w:p w14:paraId="6872B16A">
            <w:pPr>
              <w:pStyle w:val="63"/>
              <w:spacing w:line="228" w:lineRule="auto"/>
              <w:jc w:val="center"/>
            </w:pPr>
            <w:r>
              <w:rPr>
                <w:spacing w:val="7"/>
              </w:rPr>
              <w:t>法定代表人</w:t>
            </w:r>
          </w:p>
        </w:tc>
        <w:tc>
          <w:tcPr>
            <w:tcW w:w="897" w:type="dxa"/>
            <w:vAlign w:val="center"/>
          </w:tcPr>
          <w:p w14:paraId="4B2F4561">
            <w:pPr>
              <w:pStyle w:val="63"/>
              <w:spacing w:line="228" w:lineRule="auto"/>
              <w:jc w:val="center"/>
            </w:pPr>
            <w:r>
              <w:rPr>
                <w:spacing w:val="4"/>
              </w:rPr>
              <w:t>姓名</w:t>
            </w:r>
          </w:p>
        </w:tc>
        <w:tc>
          <w:tcPr>
            <w:tcW w:w="950" w:type="dxa"/>
            <w:vAlign w:val="center"/>
          </w:tcPr>
          <w:p w14:paraId="32066BF7">
            <w:pPr>
              <w:jc w:val="center"/>
              <w:rPr>
                <w:rFonts w:ascii="Arial"/>
              </w:rPr>
            </w:pPr>
          </w:p>
        </w:tc>
        <w:tc>
          <w:tcPr>
            <w:tcW w:w="1260" w:type="dxa"/>
            <w:gridSpan w:val="2"/>
            <w:vAlign w:val="center"/>
          </w:tcPr>
          <w:p w14:paraId="38FC77EB">
            <w:pPr>
              <w:pStyle w:val="63"/>
              <w:spacing w:line="228" w:lineRule="auto"/>
              <w:jc w:val="center"/>
            </w:pPr>
            <w:r>
              <w:rPr>
                <w:spacing w:val="7"/>
              </w:rPr>
              <w:t>技术职称</w:t>
            </w:r>
          </w:p>
        </w:tc>
        <w:tc>
          <w:tcPr>
            <w:tcW w:w="1878" w:type="dxa"/>
            <w:gridSpan w:val="3"/>
            <w:vAlign w:val="center"/>
          </w:tcPr>
          <w:p w14:paraId="0B6726F3">
            <w:pPr>
              <w:jc w:val="center"/>
              <w:rPr>
                <w:rFonts w:ascii="Arial"/>
              </w:rPr>
            </w:pPr>
          </w:p>
        </w:tc>
        <w:tc>
          <w:tcPr>
            <w:tcW w:w="859" w:type="dxa"/>
            <w:vAlign w:val="center"/>
          </w:tcPr>
          <w:p w14:paraId="20C970E3">
            <w:pPr>
              <w:pStyle w:val="63"/>
              <w:spacing w:line="230" w:lineRule="auto"/>
              <w:jc w:val="center"/>
            </w:pPr>
            <w:r>
              <w:rPr>
                <w:spacing w:val="-8"/>
              </w:rPr>
              <w:t>电话</w:t>
            </w:r>
          </w:p>
        </w:tc>
        <w:tc>
          <w:tcPr>
            <w:tcW w:w="996" w:type="dxa"/>
            <w:vAlign w:val="center"/>
          </w:tcPr>
          <w:p w14:paraId="2ECAA855">
            <w:pPr>
              <w:jc w:val="center"/>
              <w:rPr>
                <w:rFonts w:ascii="Arial"/>
              </w:rPr>
            </w:pPr>
          </w:p>
        </w:tc>
      </w:tr>
      <w:tr w14:paraId="1262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center"/>
          </w:tcPr>
          <w:p w14:paraId="323EDA94">
            <w:pPr>
              <w:pStyle w:val="63"/>
              <w:spacing w:line="228" w:lineRule="auto"/>
              <w:jc w:val="center"/>
            </w:pPr>
            <w:r>
              <w:rPr>
                <w:spacing w:val="7"/>
              </w:rPr>
              <w:t>技术负责人</w:t>
            </w:r>
          </w:p>
        </w:tc>
        <w:tc>
          <w:tcPr>
            <w:tcW w:w="897" w:type="dxa"/>
            <w:vAlign w:val="center"/>
          </w:tcPr>
          <w:p w14:paraId="71ADA8C3">
            <w:pPr>
              <w:pStyle w:val="63"/>
              <w:spacing w:line="228" w:lineRule="auto"/>
              <w:jc w:val="center"/>
            </w:pPr>
            <w:r>
              <w:rPr>
                <w:spacing w:val="4"/>
              </w:rPr>
              <w:t>姓名</w:t>
            </w:r>
          </w:p>
        </w:tc>
        <w:tc>
          <w:tcPr>
            <w:tcW w:w="950" w:type="dxa"/>
            <w:vAlign w:val="center"/>
          </w:tcPr>
          <w:p w14:paraId="088CC92A">
            <w:pPr>
              <w:jc w:val="center"/>
              <w:rPr>
                <w:rFonts w:ascii="Arial"/>
              </w:rPr>
            </w:pPr>
          </w:p>
        </w:tc>
        <w:tc>
          <w:tcPr>
            <w:tcW w:w="1260" w:type="dxa"/>
            <w:gridSpan w:val="2"/>
            <w:vAlign w:val="center"/>
          </w:tcPr>
          <w:p w14:paraId="19440F50">
            <w:pPr>
              <w:pStyle w:val="63"/>
              <w:spacing w:line="228" w:lineRule="auto"/>
              <w:jc w:val="center"/>
            </w:pPr>
            <w:r>
              <w:rPr>
                <w:spacing w:val="7"/>
              </w:rPr>
              <w:t>技术职称</w:t>
            </w:r>
          </w:p>
        </w:tc>
        <w:tc>
          <w:tcPr>
            <w:tcW w:w="1878" w:type="dxa"/>
            <w:gridSpan w:val="3"/>
            <w:vAlign w:val="center"/>
          </w:tcPr>
          <w:p w14:paraId="0D7A7750">
            <w:pPr>
              <w:jc w:val="center"/>
              <w:rPr>
                <w:rFonts w:ascii="Arial"/>
              </w:rPr>
            </w:pPr>
          </w:p>
        </w:tc>
        <w:tc>
          <w:tcPr>
            <w:tcW w:w="859" w:type="dxa"/>
            <w:vAlign w:val="center"/>
          </w:tcPr>
          <w:p w14:paraId="52400E14">
            <w:pPr>
              <w:pStyle w:val="63"/>
              <w:spacing w:line="230" w:lineRule="auto"/>
              <w:jc w:val="center"/>
            </w:pPr>
            <w:r>
              <w:rPr>
                <w:spacing w:val="-8"/>
              </w:rPr>
              <w:t>电话</w:t>
            </w:r>
          </w:p>
        </w:tc>
        <w:tc>
          <w:tcPr>
            <w:tcW w:w="996" w:type="dxa"/>
            <w:vAlign w:val="center"/>
          </w:tcPr>
          <w:p w14:paraId="4598FF81">
            <w:pPr>
              <w:jc w:val="center"/>
              <w:rPr>
                <w:rFonts w:ascii="Arial"/>
              </w:rPr>
            </w:pPr>
          </w:p>
        </w:tc>
      </w:tr>
      <w:tr w14:paraId="2317E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center"/>
          </w:tcPr>
          <w:p w14:paraId="19BB0E04">
            <w:pPr>
              <w:pStyle w:val="63"/>
              <w:spacing w:line="229" w:lineRule="auto"/>
              <w:jc w:val="center"/>
            </w:pPr>
            <w:r>
              <w:rPr>
                <w:spacing w:val="6"/>
              </w:rPr>
              <w:t>成立时间</w:t>
            </w:r>
          </w:p>
        </w:tc>
        <w:tc>
          <w:tcPr>
            <w:tcW w:w="1847" w:type="dxa"/>
            <w:gridSpan w:val="2"/>
            <w:vAlign w:val="center"/>
          </w:tcPr>
          <w:p w14:paraId="6B5BC97A">
            <w:pPr>
              <w:jc w:val="center"/>
              <w:rPr>
                <w:rFonts w:ascii="Arial"/>
              </w:rPr>
            </w:pPr>
          </w:p>
        </w:tc>
        <w:tc>
          <w:tcPr>
            <w:tcW w:w="4993" w:type="dxa"/>
            <w:gridSpan w:val="7"/>
            <w:vAlign w:val="center"/>
          </w:tcPr>
          <w:p w14:paraId="224582D4">
            <w:pPr>
              <w:pStyle w:val="63"/>
              <w:spacing w:line="228" w:lineRule="auto"/>
              <w:jc w:val="center"/>
            </w:pPr>
            <w:r>
              <w:rPr>
                <w:spacing w:val="5"/>
              </w:rPr>
              <w:t>员工总人数：</w:t>
            </w:r>
          </w:p>
        </w:tc>
      </w:tr>
      <w:tr w14:paraId="645C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center"/>
          </w:tcPr>
          <w:p w14:paraId="6A567AEC">
            <w:pPr>
              <w:pStyle w:val="63"/>
              <w:spacing w:line="228" w:lineRule="auto"/>
              <w:jc w:val="center"/>
            </w:pPr>
            <w:r>
              <w:rPr>
                <w:spacing w:val="7"/>
              </w:rPr>
              <w:t>企业资质等级</w:t>
            </w:r>
          </w:p>
        </w:tc>
        <w:tc>
          <w:tcPr>
            <w:tcW w:w="1847" w:type="dxa"/>
            <w:gridSpan w:val="2"/>
            <w:vAlign w:val="center"/>
          </w:tcPr>
          <w:p w14:paraId="63B2EC08">
            <w:pPr>
              <w:jc w:val="center"/>
              <w:rPr>
                <w:rFonts w:ascii="Arial"/>
              </w:rPr>
            </w:pPr>
          </w:p>
        </w:tc>
        <w:tc>
          <w:tcPr>
            <w:tcW w:w="840" w:type="dxa"/>
            <w:vMerge w:val="restart"/>
            <w:tcBorders>
              <w:bottom w:val="nil"/>
            </w:tcBorders>
            <w:vAlign w:val="center"/>
          </w:tcPr>
          <w:p w14:paraId="0C95B027">
            <w:pPr>
              <w:pStyle w:val="63"/>
              <w:spacing w:line="228" w:lineRule="auto"/>
              <w:jc w:val="center"/>
            </w:pPr>
            <w:r>
              <w:rPr>
                <w:spacing w:val="4"/>
              </w:rPr>
              <w:t>其中</w:t>
            </w:r>
          </w:p>
        </w:tc>
        <w:tc>
          <w:tcPr>
            <w:tcW w:w="2298" w:type="dxa"/>
            <w:gridSpan w:val="4"/>
            <w:vAlign w:val="center"/>
          </w:tcPr>
          <w:p w14:paraId="17789B62">
            <w:pPr>
              <w:pStyle w:val="63"/>
              <w:spacing w:line="228" w:lineRule="auto"/>
              <w:jc w:val="center"/>
            </w:pPr>
            <w:r>
              <w:rPr>
                <w:spacing w:val="6"/>
              </w:rPr>
              <w:t>项目经理</w:t>
            </w:r>
          </w:p>
        </w:tc>
        <w:tc>
          <w:tcPr>
            <w:tcW w:w="1855" w:type="dxa"/>
            <w:gridSpan w:val="2"/>
            <w:vAlign w:val="center"/>
          </w:tcPr>
          <w:p w14:paraId="5E8D4F0C">
            <w:pPr>
              <w:jc w:val="center"/>
              <w:rPr>
                <w:rFonts w:ascii="Arial"/>
              </w:rPr>
            </w:pPr>
          </w:p>
        </w:tc>
      </w:tr>
      <w:tr w14:paraId="5FCBC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center"/>
          </w:tcPr>
          <w:p w14:paraId="79B435F7">
            <w:pPr>
              <w:pStyle w:val="63"/>
              <w:spacing w:line="228" w:lineRule="auto"/>
              <w:jc w:val="center"/>
            </w:pPr>
            <w:r>
              <w:rPr>
                <w:spacing w:val="6"/>
              </w:rPr>
              <w:t>营业执照号</w:t>
            </w:r>
          </w:p>
        </w:tc>
        <w:tc>
          <w:tcPr>
            <w:tcW w:w="1847" w:type="dxa"/>
            <w:gridSpan w:val="2"/>
            <w:vAlign w:val="center"/>
          </w:tcPr>
          <w:p w14:paraId="11BBEE05">
            <w:pPr>
              <w:jc w:val="center"/>
              <w:rPr>
                <w:rFonts w:ascii="Arial"/>
              </w:rPr>
            </w:pPr>
          </w:p>
        </w:tc>
        <w:tc>
          <w:tcPr>
            <w:tcW w:w="840" w:type="dxa"/>
            <w:vMerge w:val="continue"/>
            <w:tcBorders>
              <w:top w:val="nil"/>
              <w:bottom w:val="nil"/>
            </w:tcBorders>
            <w:vAlign w:val="center"/>
          </w:tcPr>
          <w:p w14:paraId="19E37D51">
            <w:pPr>
              <w:jc w:val="center"/>
              <w:rPr>
                <w:rFonts w:ascii="Arial"/>
              </w:rPr>
            </w:pPr>
          </w:p>
        </w:tc>
        <w:tc>
          <w:tcPr>
            <w:tcW w:w="2298" w:type="dxa"/>
            <w:gridSpan w:val="4"/>
            <w:vAlign w:val="center"/>
          </w:tcPr>
          <w:p w14:paraId="5D75968C">
            <w:pPr>
              <w:pStyle w:val="63"/>
              <w:spacing w:line="228" w:lineRule="auto"/>
              <w:jc w:val="center"/>
            </w:pPr>
            <w:r>
              <w:rPr>
                <w:spacing w:val="7"/>
              </w:rPr>
              <w:t>高级职称人员</w:t>
            </w:r>
          </w:p>
        </w:tc>
        <w:tc>
          <w:tcPr>
            <w:tcW w:w="1855" w:type="dxa"/>
            <w:gridSpan w:val="2"/>
            <w:vAlign w:val="center"/>
          </w:tcPr>
          <w:p w14:paraId="33874785">
            <w:pPr>
              <w:jc w:val="center"/>
              <w:rPr>
                <w:rFonts w:ascii="Arial"/>
              </w:rPr>
            </w:pPr>
          </w:p>
        </w:tc>
      </w:tr>
      <w:tr w14:paraId="6C88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center"/>
          </w:tcPr>
          <w:p w14:paraId="0FCAA1BC">
            <w:pPr>
              <w:pStyle w:val="63"/>
              <w:spacing w:line="229" w:lineRule="auto"/>
              <w:jc w:val="center"/>
            </w:pPr>
            <w:r>
              <w:rPr>
                <w:spacing w:val="7"/>
              </w:rPr>
              <w:t>注册资金</w:t>
            </w:r>
          </w:p>
        </w:tc>
        <w:tc>
          <w:tcPr>
            <w:tcW w:w="1847" w:type="dxa"/>
            <w:gridSpan w:val="2"/>
            <w:vAlign w:val="center"/>
          </w:tcPr>
          <w:p w14:paraId="50AEE5B9">
            <w:pPr>
              <w:jc w:val="center"/>
              <w:rPr>
                <w:rFonts w:ascii="Arial"/>
              </w:rPr>
            </w:pPr>
          </w:p>
        </w:tc>
        <w:tc>
          <w:tcPr>
            <w:tcW w:w="840" w:type="dxa"/>
            <w:vMerge w:val="continue"/>
            <w:tcBorders>
              <w:top w:val="nil"/>
              <w:bottom w:val="nil"/>
            </w:tcBorders>
            <w:vAlign w:val="center"/>
          </w:tcPr>
          <w:p w14:paraId="5C4B456B">
            <w:pPr>
              <w:jc w:val="center"/>
              <w:rPr>
                <w:rFonts w:ascii="Arial"/>
              </w:rPr>
            </w:pPr>
          </w:p>
        </w:tc>
        <w:tc>
          <w:tcPr>
            <w:tcW w:w="2298" w:type="dxa"/>
            <w:gridSpan w:val="4"/>
            <w:vAlign w:val="center"/>
          </w:tcPr>
          <w:p w14:paraId="0FB61695">
            <w:pPr>
              <w:pStyle w:val="63"/>
              <w:spacing w:line="228" w:lineRule="auto"/>
              <w:jc w:val="center"/>
            </w:pPr>
            <w:r>
              <w:rPr>
                <w:spacing w:val="4"/>
              </w:rPr>
              <w:t>中级职称人员</w:t>
            </w:r>
          </w:p>
        </w:tc>
        <w:tc>
          <w:tcPr>
            <w:tcW w:w="1855" w:type="dxa"/>
            <w:gridSpan w:val="2"/>
            <w:vAlign w:val="center"/>
          </w:tcPr>
          <w:p w14:paraId="0463F40B">
            <w:pPr>
              <w:jc w:val="center"/>
              <w:rPr>
                <w:rFonts w:ascii="Arial"/>
              </w:rPr>
            </w:pPr>
          </w:p>
        </w:tc>
      </w:tr>
      <w:tr w14:paraId="7B06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center"/>
          </w:tcPr>
          <w:p w14:paraId="60885245">
            <w:pPr>
              <w:pStyle w:val="63"/>
              <w:spacing w:line="228" w:lineRule="auto"/>
              <w:jc w:val="center"/>
            </w:pPr>
            <w:r>
              <w:rPr>
                <w:spacing w:val="7"/>
              </w:rPr>
              <w:t>开户银行</w:t>
            </w:r>
          </w:p>
        </w:tc>
        <w:tc>
          <w:tcPr>
            <w:tcW w:w="1847" w:type="dxa"/>
            <w:gridSpan w:val="2"/>
            <w:vAlign w:val="center"/>
          </w:tcPr>
          <w:p w14:paraId="7B4D2DA7">
            <w:pPr>
              <w:jc w:val="center"/>
              <w:rPr>
                <w:rFonts w:ascii="Arial"/>
              </w:rPr>
            </w:pPr>
          </w:p>
        </w:tc>
        <w:tc>
          <w:tcPr>
            <w:tcW w:w="840" w:type="dxa"/>
            <w:vMerge w:val="continue"/>
            <w:tcBorders>
              <w:top w:val="nil"/>
              <w:bottom w:val="nil"/>
            </w:tcBorders>
            <w:vAlign w:val="center"/>
          </w:tcPr>
          <w:p w14:paraId="56C6B86F">
            <w:pPr>
              <w:jc w:val="center"/>
              <w:rPr>
                <w:rFonts w:ascii="Arial"/>
              </w:rPr>
            </w:pPr>
          </w:p>
        </w:tc>
        <w:tc>
          <w:tcPr>
            <w:tcW w:w="2298" w:type="dxa"/>
            <w:gridSpan w:val="4"/>
            <w:vAlign w:val="center"/>
          </w:tcPr>
          <w:p w14:paraId="4151ED5B">
            <w:pPr>
              <w:pStyle w:val="63"/>
              <w:spacing w:line="229" w:lineRule="auto"/>
              <w:jc w:val="center"/>
            </w:pPr>
            <w:r>
              <w:rPr>
                <w:spacing w:val="8"/>
              </w:rPr>
              <w:t>初级职称人员</w:t>
            </w:r>
          </w:p>
        </w:tc>
        <w:tc>
          <w:tcPr>
            <w:tcW w:w="1855" w:type="dxa"/>
            <w:gridSpan w:val="2"/>
            <w:vAlign w:val="center"/>
          </w:tcPr>
          <w:p w14:paraId="5831C806">
            <w:pPr>
              <w:jc w:val="center"/>
              <w:rPr>
                <w:rFonts w:ascii="Arial"/>
              </w:rPr>
            </w:pPr>
          </w:p>
        </w:tc>
      </w:tr>
      <w:tr w14:paraId="6894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center"/>
          </w:tcPr>
          <w:p w14:paraId="3EE6CA7B">
            <w:pPr>
              <w:pStyle w:val="63"/>
              <w:spacing w:line="229" w:lineRule="auto"/>
              <w:jc w:val="center"/>
            </w:pPr>
            <w:r>
              <w:rPr>
                <w:spacing w:val="3"/>
              </w:rPr>
              <w:t>账号</w:t>
            </w:r>
          </w:p>
        </w:tc>
        <w:tc>
          <w:tcPr>
            <w:tcW w:w="1847" w:type="dxa"/>
            <w:gridSpan w:val="2"/>
            <w:vAlign w:val="center"/>
          </w:tcPr>
          <w:p w14:paraId="05F5FB38">
            <w:pPr>
              <w:jc w:val="center"/>
              <w:rPr>
                <w:rFonts w:ascii="Arial"/>
              </w:rPr>
            </w:pPr>
          </w:p>
        </w:tc>
        <w:tc>
          <w:tcPr>
            <w:tcW w:w="840" w:type="dxa"/>
            <w:vMerge w:val="continue"/>
            <w:tcBorders>
              <w:top w:val="nil"/>
            </w:tcBorders>
            <w:vAlign w:val="center"/>
          </w:tcPr>
          <w:p w14:paraId="1868460F">
            <w:pPr>
              <w:jc w:val="center"/>
              <w:rPr>
                <w:rFonts w:ascii="Arial"/>
              </w:rPr>
            </w:pPr>
          </w:p>
        </w:tc>
        <w:tc>
          <w:tcPr>
            <w:tcW w:w="2298" w:type="dxa"/>
            <w:gridSpan w:val="4"/>
            <w:vAlign w:val="center"/>
          </w:tcPr>
          <w:p w14:paraId="656D9BE8">
            <w:pPr>
              <w:pStyle w:val="63"/>
              <w:spacing w:line="229" w:lineRule="auto"/>
              <w:jc w:val="center"/>
            </w:pPr>
            <w:r>
              <w:rPr>
                <w:spacing w:val="4"/>
              </w:rPr>
              <w:t>技工</w:t>
            </w:r>
          </w:p>
        </w:tc>
        <w:tc>
          <w:tcPr>
            <w:tcW w:w="1855" w:type="dxa"/>
            <w:gridSpan w:val="2"/>
            <w:vAlign w:val="center"/>
          </w:tcPr>
          <w:p w14:paraId="0F65D67A">
            <w:pPr>
              <w:jc w:val="center"/>
              <w:rPr>
                <w:rFonts w:ascii="Arial"/>
              </w:rPr>
            </w:pPr>
          </w:p>
        </w:tc>
      </w:tr>
      <w:tr w14:paraId="4975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732" w:type="dxa"/>
            <w:vAlign w:val="center"/>
          </w:tcPr>
          <w:p w14:paraId="0F4EE353">
            <w:pPr>
              <w:pStyle w:val="63"/>
              <w:spacing w:line="228" w:lineRule="auto"/>
              <w:jc w:val="center"/>
            </w:pPr>
            <w:r>
              <w:rPr>
                <w:spacing w:val="6"/>
              </w:rPr>
              <w:t>经营范围</w:t>
            </w:r>
          </w:p>
        </w:tc>
        <w:tc>
          <w:tcPr>
            <w:tcW w:w="6840" w:type="dxa"/>
            <w:gridSpan w:val="9"/>
            <w:vAlign w:val="center"/>
          </w:tcPr>
          <w:p w14:paraId="04C597EF">
            <w:pPr>
              <w:jc w:val="center"/>
              <w:rPr>
                <w:rFonts w:ascii="Arial"/>
              </w:rPr>
            </w:pPr>
          </w:p>
        </w:tc>
      </w:tr>
      <w:tr w14:paraId="7DCD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center"/>
          </w:tcPr>
          <w:p w14:paraId="01FA8738">
            <w:pPr>
              <w:pStyle w:val="63"/>
              <w:spacing w:line="229" w:lineRule="auto"/>
              <w:jc w:val="center"/>
            </w:pPr>
            <w:r>
              <w:rPr>
                <w:spacing w:val="3"/>
              </w:rPr>
              <w:t>备注</w:t>
            </w:r>
          </w:p>
        </w:tc>
        <w:tc>
          <w:tcPr>
            <w:tcW w:w="6840" w:type="dxa"/>
            <w:gridSpan w:val="9"/>
            <w:vAlign w:val="center"/>
          </w:tcPr>
          <w:p w14:paraId="76CD97F2">
            <w:pPr>
              <w:jc w:val="center"/>
              <w:rPr>
                <w:rFonts w:ascii="Arial"/>
              </w:rPr>
            </w:pPr>
          </w:p>
        </w:tc>
      </w:tr>
    </w:tbl>
    <w:p w14:paraId="6716F251">
      <w:pPr>
        <w:spacing w:line="360" w:lineRule="auto"/>
        <w:ind w:right="159" w:firstLine="486" w:firstLineChars="200"/>
        <w:rPr>
          <w:rFonts w:ascii="宋体" w:hAnsi="宋体" w:cs="宋体"/>
          <w:sz w:val="22"/>
          <w:szCs w:val="22"/>
        </w:rPr>
      </w:pPr>
      <w:r>
        <w:rPr>
          <w:rFonts w:ascii="宋体" w:hAnsi="宋体" w:cs="宋体"/>
          <w:b/>
          <w:bCs/>
          <w:spacing w:val="11"/>
          <w:sz w:val="22"/>
          <w:szCs w:val="22"/>
        </w:rPr>
        <w:t>备注：本表后应附企业法人营业执照、企业资</w:t>
      </w:r>
      <w:r>
        <w:rPr>
          <w:rFonts w:ascii="宋体" w:hAnsi="宋体" w:cs="宋体"/>
          <w:b/>
          <w:bCs/>
          <w:spacing w:val="10"/>
          <w:sz w:val="22"/>
          <w:szCs w:val="22"/>
        </w:rPr>
        <w:t>质证书、安全生产许可证等材料的复印件或</w:t>
      </w:r>
      <w:r>
        <w:rPr>
          <w:rFonts w:ascii="宋体" w:hAnsi="宋体" w:cs="宋体"/>
          <w:b/>
          <w:bCs/>
          <w:spacing w:val="3"/>
          <w:sz w:val="22"/>
          <w:szCs w:val="22"/>
        </w:rPr>
        <w:t>扫描件。</w:t>
      </w:r>
    </w:p>
    <w:p w14:paraId="13017C60">
      <w:pPr>
        <w:spacing w:line="273" w:lineRule="auto"/>
        <w:rPr>
          <w:rFonts w:ascii="宋体" w:hAnsi="宋体" w:cs="宋体"/>
          <w:sz w:val="20"/>
          <w:szCs w:val="20"/>
        </w:rPr>
        <w:sectPr>
          <w:footerReference r:id="rId15" w:type="default"/>
          <w:pgSz w:w="11906" w:h="16838"/>
          <w:pgMar w:top="1701" w:right="1531" w:bottom="1531" w:left="1531" w:header="0" w:footer="986" w:gutter="0"/>
          <w:cols w:space="0" w:num="1"/>
        </w:sectPr>
      </w:pPr>
    </w:p>
    <w:p w14:paraId="61EB8ED0">
      <w:pPr>
        <w:spacing w:line="360" w:lineRule="auto"/>
        <w:jc w:val="center"/>
        <w:rPr>
          <w:rFonts w:asciiTheme="minorEastAsia" w:hAnsiTheme="minorEastAsia" w:eastAsiaTheme="minorEastAsia" w:cstheme="minorEastAsia"/>
          <w:b/>
          <w:bCs/>
          <w:sz w:val="24"/>
          <w:szCs w:val="24"/>
        </w:rPr>
      </w:pPr>
      <w:bookmarkStart w:id="774" w:name="bookmark89"/>
      <w:bookmarkEnd w:id="774"/>
      <w:bookmarkStart w:id="775" w:name="bookmark90"/>
      <w:bookmarkEnd w:id="775"/>
      <w:r>
        <w:rPr>
          <w:rFonts w:hint="eastAsia" w:asciiTheme="minorEastAsia" w:hAnsiTheme="minorEastAsia" w:eastAsiaTheme="minorEastAsia" w:cstheme="minorEastAsia"/>
          <w:b/>
          <w:bCs/>
          <w:sz w:val="24"/>
          <w:szCs w:val="24"/>
        </w:rPr>
        <w:t>2.项目经理证明材料</w:t>
      </w:r>
    </w:p>
    <w:p w14:paraId="0AF86806">
      <w:pPr>
        <w:spacing w:line="360" w:lineRule="auto"/>
        <w:jc w:val="center"/>
        <w:rPr>
          <w:rFonts w:asciiTheme="minorEastAsia" w:hAnsiTheme="minorEastAsia" w:eastAsiaTheme="minorEastAsia" w:cstheme="minorEastAsia"/>
          <w:b/>
          <w:bCs/>
          <w:sz w:val="24"/>
          <w:szCs w:val="24"/>
        </w:rPr>
      </w:pPr>
    </w:p>
    <w:p w14:paraId="19D9B788">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3.近年财务状况表</w:t>
      </w:r>
    </w:p>
    <w:p w14:paraId="7F792EA3">
      <w:pPr>
        <w:spacing w:line="360" w:lineRule="auto"/>
        <w:ind w:firstLine="476" w:firstLineChars="200"/>
        <w:rPr>
          <w:rFonts w:ascii="宋体" w:hAnsi="宋体" w:cs="宋体"/>
          <w:sz w:val="24"/>
          <w:szCs w:val="24"/>
        </w:rPr>
      </w:pPr>
      <w:r>
        <w:rPr>
          <w:rFonts w:ascii="宋体" w:hAnsi="宋体" w:cs="宋体"/>
          <w:spacing w:val="-1"/>
          <w:sz w:val="24"/>
          <w:szCs w:val="24"/>
        </w:rPr>
        <w:t>提供下列资料之一作为财务状况证明资料（复印件或扫描件</w:t>
      </w:r>
      <w:r>
        <w:rPr>
          <w:rFonts w:ascii="宋体" w:hAnsi="宋体" w:cs="宋体"/>
          <w:spacing w:val="7"/>
          <w:sz w:val="24"/>
          <w:szCs w:val="24"/>
        </w:rPr>
        <w:t>）：</w:t>
      </w:r>
    </w:p>
    <w:p w14:paraId="698A6882">
      <w:pPr>
        <w:spacing w:line="360" w:lineRule="auto"/>
        <w:ind w:firstLine="476" w:firstLineChars="200"/>
        <w:rPr>
          <w:rFonts w:ascii="宋体" w:hAnsi="宋体" w:cs="宋体"/>
          <w:sz w:val="24"/>
          <w:szCs w:val="24"/>
        </w:rPr>
      </w:pPr>
      <w:r>
        <w:rPr>
          <w:rFonts w:ascii="宋体" w:hAnsi="宋体" w:cs="宋体"/>
          <w:spacing w:val="-1"/>
          <w:sz w:val="24"/>
          <w:szCs w:val="24"/>
        </w:rPr>
        <w:t xml:space="preserve">① </w:t>
      </w:r>
      <w:r>
        <w:rPr>
          <w:rFonts w:hint="eastAsia" w:asciiTheme="minorEastAsia" w:hAnsiTheme="minorEastAsia" w:eastAsiaTheme="minorEastAsia" w:cstheme="minorEastAsia"/>
          <w:sz w:val="24"/>
          <w:szCs w:val="24"/>
        </w:rPr>
        <w:t>2024年度</w:t>
      </w:r>
      <w:r>
        <w:rPr>
          <w:rFonts w:ascii="宋体" w:hAnsi="宋体" w:cs="宋体"/>
          <w:spacing w:val="-1"/>
          <w:sz w:val="24"/>
          <w:szCs w:val="24"/>
        </w:rPr>
        <w:t>经会计师事务所或者审计机构审计的财务报告；</w:t>
      </w:r>
    </w:p>
    <w:p w14:paraId="4A02CA9E">
      <w:pPr>
        <w:spacing w:line="360" w:lineRule="auto"/>
        <w:ind w:firstLine="480" w:firstLineChars="200"/>
        <w:rPr>
          <w:rFonts w:ascii="宋体" w:hAnsi="宋体" w:cs="宋体"/>
          <w:sz w:val="24"/>
          <w:szCs w:val="24"/>
        </w:rPr>
      </w:pPr>
      <w:r>
        <w:rPr>
          <w:rFonts w:ascii="宋体" w:hAnsi="宋体" w:cs="宋体"/>
          <w:sz w:val="24"/>
          <w:szCs w:val="24"/>
        </w:rPr>
        <w:t>②基本账户开户银行出具的有效资信证明及</w:t>
      </w:r>
      <w:r>
        <w:rPr>
          <w:rFonts w:ascii="宋体" w:hAnsi="宋体" w:cs="宋体"/>
          <w:spacing w:val="-1"/>
          <w:sz w:val="24"/>
          <w:szCs w:val="24"/>
        </w:rPr>
        <w:t>基本账户开户证明；</w:t>
      </w:r>
    </w:p>
    <w:p w14:paraId="37A69422">
      <w:pPr>
        <w:pStyle w:val="9"/>
        <w:spacing w:line="289" w:lineRule="auto"/>
      </w:pPr>
    </w:p>
    <w:p w14:paraId="6A023A03">
      <w:pPr>
        <w:pStyle w:val="9"/>
        <w:spacing w:line="289" w:lineRule="auto"/>
      </w:pPr>
    </w:p>
    <w:p w14:paraId="36BE294F">
      <w:pPr>
        <w:pStyle w:val="9"/>
        <w:spacing w:line="289" w:lineRule="auto"/>
      </w:pPr>
    </w:p>
    <w:p w14:paraId="4EE777FD">
      <w:pPr>
        <w:spacing w:line="360" w:lineRule="auto"/>
        <w:jc w:val="center"/>
        <w:rPr>
          <w:rFonts w:asciiTheme="minorEastAsia" w:hAnsiTheme="minorEastAsia" w:eastAsiaTheme="minorEastAsia" w:cstheme="minorEastAsia"/>
          <w:b/>
          <w:bCs/>
          <w:sz w:val="24"/>
          <w:szCs w:val="24"/>
        </w:rPr>
      </w:pPr>
      <w:bookmarkStart w:id="776" w:name="bookmark92"/>
      <w:bookmarkEnd w:id="776"/>
      <w:bookmarkStart w:id="777" w:name="bookmark91"/>
      <w:bookmarkEnd w:id="777"/>
      <w:r>
        <w:rPr>
          <w:rFonts w:hint="eastAsia" w:asciiTheme="minorEastAsia" w:hAnsiTheme="minorEastAsia" w:eastAsiaTheme="minorEastAsia" w:cstheme="minorEastAsia"/>
          <w:b/>
          <w:bCs/>
          <w:sz w:val="24"/>
          <w:szCs w:val="24"/>
        </w:rPr>
        <w:t>4.依法缴纳税收和社会保障资金状况</w:t>
      </w:r>
    </w:p>
    <w:p w14:paraId="0D19E5F9">
      <w:pPr>
        <w:spacing w:line="360" w:lineRule="auto"/>
        <w:ind w:firstLine="476" w:firstLineChars="200"/>
        <w:rPr>
          <w:rFonts w:ascii="宋体" w:hAnsi="宋体" w:cs="宋体"/>
          <w:spacing w:val="-1"/>
          <w:sz w:val="24"/>
          <w:szCs w:val="24"/>
        </w:rPr>
      </w:pPr>
      <w:r>
        <w:rPr>
          <w:rFonts w:ascii="宋体" w:hAnsi="宋体" w:cs="宋体"/>
          <w:spacing w:val="-1"/>
          <w:sz w:val="24"/>
          <w:szCs w:val="24"/>
        </w:rPr>
        <w:t>1.附供应商 202</w:t>
      </w:r>
      <w:r>
        <w:rPr>
          <w:rFonts w:hint="eastAsia" w:ascii="宋体" w:hAnsi="宋体" w:cs="宋体"/>
          <w:spacing w:val="-1"/>
          <w:sz w:val="24"/>
          <w:szCs w:val="24"/>
        </w:rPr>
        <w:t>5</w:t>
      </w:r>
      <w:r>
        <w:rPr>
          <w:rFonts w:ascii="宋体" w:hAnsi="宋体" w:cs="宋体"/>
          <w:spacing w:val="-1"/>
          <w:sz w:val="24"/>
          <w:szCs w:val="24"/>
        </w:rPr>
        <w:t xml:space="preserve"> 年</w:t>
      </w:r>
      <w:r>
        <w:rPr>
          <w:rFonts w:hint="eastAsia" w:ascii="宋体" w:hAnsi="宋体" w:cs="宋体"/>
          <w:spacing w:val="-1"/>
          <w:sz w:val="24"/>
          <w:szCs w:val="24"/>
        </w:rPr>
        <w:t>1月1日</w:t>
      </w:r>
      <w:r>
        <w:rPr>
          <w:rFonts w:ascii="宋体" w:hAnsi="宋体" w:cs="宋体"/>
          <w:spacing w:val="-1"/>
          <w:sz w:val="24"/>
          <w:szCs w:val="24"/>
        </w:rPr>
        <w:t>以来</w:t>
      </w:r>
      <w:r>
        <w:rPr>
          <w:rFonts w:hint="eastAsia" w:ascii="宋体" w:hAnsi="宋体" w:cs="宋体"/>
          <w:spacing w:val="-1"/>
          <w:sz w:val="24"/>
          <w:szCs w:val="24"/>
        </w:rPr>
        <w:t>连续</w:t>
      </w:r>
      <w:r>
        <w:rPr>
          <w:rFonts w:hint="eastAsia" w:ascii="宋体" w:hAnsi="宋体" w:cs="宋体"/>
          <w:spacing w:val="-1"/>
          <w:sz w:val="24"/>
          <w:szCs w:val="24"/>
          <w:lang w:val="en-US" w:eastAsia="zh-CN"/>
        </w:rPr>
        <w:t>三</w:t>
      </w:r>
      <w:r>
        <w:rPr>
          <w:rFonts w:hint="eastAsia" w:ascii="宋体" w:hAnsi="宋体" w:cs="宋体"/>
          <w:spacing w:val="-1"/>
          <w:sz w:val="24"/>
          <w:szCs w:val="24"/>
        </w:rPr>
        <w:t>个月</w:t>
      </w:r>
      <w:r>
        <w:rPr>
          <w:rFonts w:ascii="宋体" w:hAnsi="宋体" w:cs="宋体"/>
          <w:spacing w:val="-1"/>
          <w:sz w:val="24"/>
          <w:szCs w:val="24"/>
        </w:rPr>
        <w:t>的缴纳税收的凭据；</w:t>
      </w:r>
    </w:p>
    <w:p w14:paraId="4D64AE9B">
      <w:pPr>
        <w:spacing w:line="360" w:lineRule="auto"/>
        <w:ind w:firstLine="476" w:firstLineChars="200"/>
        <w:rPr>
          <w:rFonts w:ascii="宋体" w:hAnsi="宋体" w:cs="宋体"/>
          <w:spacing w:val="-1"/>
          <w:sz w:val="24"/>
          <w:szCs w:val="24"/>
        </w:rPr>
      </w:pPr>
      <w:r>
        <w:rPr>
          <w:rFonts w:ascii="宋体" w:hAnsi="宋体" w:cs="宋体"/>
          <w:spacing w:val="-1"/>
          <w:sz w:val="24"/>
          <w:szCs w:val="24"/>
        </w:rPr>
        <w:t>注：</w:t>
      </w:r>
    </w:p>
    <w:p w14:paraId="76F1A8CF">
      <w:pPr>
        <w:spacing w:line="360" w:lineRule="auto"/>
        <w:ind w:firstLine="476" w:firstLineChars="200"/>
        <w:rPr>
          <w:rFonts w:ascii="宋体" w:hAnsi="宋体" w:cs="宋体"/>
          <w:spacing w:val="-1"/>
          <w:sz w:val="24"/>
          <w:szCs w:val="24"/>
        </w:rPr>
      </w:pPr>
      <w:r>
        <w:rPr>
          <w:rFonts w:ascii="宋体" w:hAnsi="宋体" w:cs="宋体"/>
          <w:spacing w:val="-1"/>
          <w:sz w:val="24"/>
          <w:szCs w:val="24"/>
        </w:rPr>
        <w:t>1）纳税证明必须包含增值税或营业税或企业所得税其中之一，并提供缴费银行单据或税务机关出具的证明复印件或扫描件作为证明材料；</w:t>
      </w:r>
    </w:p>
    <w:p w14:paraId="6DB38EAA">
      <w:pPr>
        <w:spacing w:line="360" w:lineRule="auto"/>
        <w:ind w:firstLine="476" w:firstLineChars="200"/>
        <w:rPr>
          <w:rFonts w:ascii="宋体" w:hAnsi="宋体" w:cs="宋体"/>
          <w:spacing w:val="-1"/>
          <w:sz w:val="24"/>
          <w:szCs w:val="24"/>
        </w:rPr>
      </w:pPr>
      <w:r>
        <w:rPr>
          <w:rFonts w:ascii="宋体" w:hAnsi="宋体" w:cs="宋体"/>
          <w:spacing w:val="-1"/>
          <w:sz w:val="24"/>
          <w:szCs w:val="24"/>
        </w:rPr>
        <w:t xml:space="preserve">2）供应商依法免税，应提供依法免税的相应证明文件。 </w:t>
      </w:r>
    </w:p>
    <w:p w14:paraId="1BDD0BA0">
      <w:pPr>
        <w:spacing w:line="360" w:lineRule="auto"/>
        <w:ind w:firstLine="476" w:firstLineChars="200"/>
        <w:rPr>
          <w:rFonts w:ascii="宋体" w:hAnsi="宋体" w:cs="宋体"/>
          <w:spacing w:val="-1"/>
          <w:sz w:val="24"/>
          <w:szCs w:val="24"/>
        </w:rPr>
      </w:pPr>
      <w:r>
        <w:rPr>
          <w:rFonts w:ascii="宋体" w:hAnsi="宋体" w:cs="宋体"/>
          <w:spacing w:val="-1"/>
          <w:sz w:val="24"/>
          <w:szCs w:val="24"/>
        </w:rPr>
        <w:t>2.附202</w:t>
      </w:r>
      <w:r>
        <w:rPr>
          <w:rFonts w:hint="eastAsia" w:ascii="宋体" w:hAnsi="宋体" w:cs="宋体"/>
          <w:spacing w:val="-1"/>
          <w:sz w:val="24"/>
          <w:szCs w:val="24"/>
        </w:rPr>
        <w:t>5</w:t>
      </w:r>
      <w:r>
        <w:rPr>
          <w:rFonts w:ascii="宋体" w:hAnsi="宋体" w:cs="宋体"/>
          <w:spacing w:val="-1"/>
          <w:sz w:val="24"/>
          <w:szCs w:val="24"/>
        </w:rPr>
        <w:t xml:space="preserve"> 年</w:t>
      </w:r>
      <w:r>
        <w:rPr>
          <w:rFonts w:hint="eastAsia" w:ascii="宋体" w:hAnsi="宋体" w:cs="宋体"/>
          <w:spacing w:val="-1"/>
          <w:sz w:val="24"/>
          <w:szCs w:val="24"/>
        </w:rPr>
        <w:t>1月1日</w:t>
      </w:r>
      <w:r>
        <w:rPr>
          <w:rFonts w:ascii="宋体" w:hAnsi="宋体" w:cs="宋体"/>
          <w:spacing w:val="-1"/>
          <w:sz w:val="24"/>
          <w:szCs w:val="24"/>
        </w:rPr>
        <w:t>以来</w:t>
      </w:r>
      <w:r>
        <w:rPr>
          <w:rFonts w:hint="eastAsia" w:ascii="宋体" w:hAnsi="宋体" w:cs="宋体"/>
          <w:spacing w:val="-1"/>
          <w:sz w:val="24"/>
          <w:szCs w:val="24"/>
        </w:rPr>
        <w:t>连续</w:t>
      </w:r>
      <w:r>
        <w:rPr>
          <w:rFonts w:hint="eastAsia" w:ascii="宋体" w:hAnsi="宋体" w:cs="宋体"/>
          <w:spacing w:val="-1"/>
          <w:sz w:val="24"/>
          <w:szCs w:val="24"/>
          <w:lang w:val="en-US" w:eastAsia="zh-CN"/>
        </w:rPr>
        <w:t>三</w:t>
      </w:r>
      <w:r>
        <w:rPr>
          <w:rFonts w:hint="eastAsia" w:ascii="宋体" w:hAnsi="宋体" w:cs="宋体"/>
          <w:spacing w:val="-1"/>
          <w:sz w:val="24"/>
          <w:szCs w:val="24"/>
        </w:rPr>
        <w:t>个月</w:t>
      </w:r>
      <w:r>
        <w:rPr>
          <w:rFonts w:ascii="宋体" w:hAnsi="宋体" w:cs="宋体"/>
          <w:spacing w:val="-1"/>
          <w:sz w:val="24"/>
          <w:szCs w:val="24"/>
        </w:rPr>
        <w:t>的缴纳社会保险的凭据；</w:t>
      </w:r>
    </w:p>
    <w:p w14:paraId="39FC462F">
      <w:pPr>
        <w:spacing w:line="360" w:lineRule="auto"/>
        <w:ind w:firstLine="476" w:firstLineChars="200"/>
        <w:rPr>
          <w:rFonts w:ascii="宋体" w:hAnsi="宋体" w:cs="宋体"/>
          <w:spacing w:val="-1"/>
          <w:sz w:val="24"/>
          <w:szCs w:val="24"/>
        </w:rPr>
      </w:pPr>
      <w:r>
        <w:rPr>
          <w:rFonts w:ascii="宋体" w:hAnsi="宋体" w:cs="宋体"/>
          <w:spacing w:val="-1"/>
          <w:sz w:val="24"/>
          <w:szCs w:val="24"/>
        </w:rPr>
        <w:t>供应商不需要缴纳社保的，需提供能够有效证明其属于国家允许不缴纳社保的相关证明文件（复印件或扫描件）。</w:t>
      </w:r>
    </w:p>
    <w:p w14:paraId="6C7AB5FD">
      <w:pPr>
        <w:spacing w:line="360" w:lineRule="auto"/>
        <w:ind w:firstLine="476" w:firstLineChars="200"/>
        <w:rPr>
          <w:rFonts w:ascii="宋体" w:hAnsi="宋体" w:cs="宋体"/>
          <w:spacing w:val="-1"/>
          <w:sz w:val="24"/>
          <w:szCs w:val="24"/>
        </w:rPr>
        <w:sectPr>
          <w:footerReference r:id="rId16" w:type="default"/>
          <w:pgSz w:w="11906" w:h="16838"/>
          <w:pgMar w:top="1701" w:right="1531" w:bottom="1531" w:left="1531" w:header="0" w:footer="986" w:gutter="0"/>
          <w:cols w:space="0" w:num="1"/>
        </w:sectPr>
      </w:pPr>
    </w:p>
    <w:p w14:paraId="1D358642">
      <w:pPr>
        <w:spacing w:line="360" w:lineRule="auto"/>
        <w:jc w:val="center"/>
        <w:rPr>
          <w:b/>
          <w:bCs/>
          <w:sz w:val="24"/>
          <w:szCs w:val="24"/>
        </w:rPr>
      </w:pPr>
      <w:bookmarkStart w:id="778" w:name="bookmark93"/>
      <w:bookmarkEnd w:id="778"/>
      <w:bookmarkStart w:id="779" w:name="bookmark94"/>
      <w:bookmarkEnd w:id="779"/>
      <w:r>
        <w:rPr>
          <w:rFonts w:hint="eastAsia"/>
          <w:b/>
          <w:bCs/>
          <w:sz w:val="24"/>
          <w:szCs w:val="24"/>
        </w:rPr>
        <w:t>5其他资格审查资料</w:t>
      </w:r>
    </w:p>
    <w:p w14:paraId="2ADA2D6D">
      <w:pPr>
        <w:spacing w:line="360" w:lineRule="auto"/>
        <w:ind w:firstLine="51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1.参加政府采购活动前三年内，在经营活动中没有重大违法记录声明（企业电子签章或盖章</w:t>
      </w:r>
      <w:r>
        <w:rPr>
          <w:rFonts w:hint="eastAsia" w:asciiTheme="minorEastAsia" w:hAnsiTheme="minorEastAsia" w:eastAsiaTheme="minorEastAsia" w:cstheme="minorEastAsia"/>
          <w:spacing w:val="9"/>
          <w:sz w:val="24"/>
          <w:szCs w:val="24"/>
        </w:rPr>
        <w:t>及法定代表人个人电子签章或盖章或签字，格</w:t>
      </w:r>
      <w:r>
        <w:rPr>
          <w:rFonts w:hint="eastAsia" w:asciiTheme="minorEastAsia" w:hAnsiTheme="minorEastAsia" w:eastAsiaTheme="minorEastAsia" w:cstheme="minorEastAsia"/>
          <w:spacing w:val="8"/>
          <w:sz w:val="24"/>
          <w:szCs w:val="24"/>
        </w:rPr>
        <w:t>式自拟）。</w:t>
      </w:r>
    </w:p>
    <w:p w14:paraId="5E9259C4">
      <w:pPr>
        <w:spacing w:line="360" w:lineRule="auto"/>
        <w:ind w:firstLine="504"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2.信用记录查询</w:t>
      </w:r>
    </w:p>
    <w:p w14:paraId="768FDCCC">
      <w:pPr>
        <w:spacing w:line="360" w:lineRule="auto"/>
        <w:ind w:firstLine="50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【查询渠道：“</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5"/>
          <w:sz w:val="24"/>
          <w:szCs w:val="24"/>
        </w:rPr>
        <w:t>中国执行信息公开网</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5"/>
          <w:sz w:val="24"/>
          <w:szCs w:val="24"/>
        </w:rPr>
        <w:t>”网站：查询失信被执行人；“信用中国</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5"/>
          <w:sz w:val="24"/>
          <w:szCs w:val="24"/>
        </w:rPr>
        <w:t>”网站：查询</w:t>
      </w:r>
      <w:r>
        <w:rPr>
          <w:rFonts w:hint="eastAsia" w:asciiTheme="minorEastAsia" w:hAnsiTheme="minorEastAsia" w:eastAsiaTheme="minorEastAsia" w:cstheme="minorEastAsia"/>
          <w:spacing w:val="6"/>
          <w:sz w:val="24"/>
          <w:szCs w:val="24"/>
        </w:rPr>
        <w:t>重大税收违法失信主体；“</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6"/>
          <w:sz w:val="24"/>
          <w:szCs w:val="24"/>
        </w:rPr>
        <w:t>中国政府采购网</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”网站：查询政府采购严重违法失信行</w:t>
      </w:r>
      <w:r>
        <w:rPr>
          <w:rFonts w:hint="eastAsia" w:asciiTheme="minorEastAsia" w:hAnsiTheme="minorEastAsia" w:eastAsiaTheme="minorEastAsia" w:cstheme="minorEastAsia"/>
          <w:spacing w:val="5"/>
          <w:sz w:val="24"/>
          <w:szCs w:val="24"/>
        </w:rPr>
        <w:t>为记录名</w:t>
      </w:r>
      <w:r>
        <w:rPr>
          <w:rFonts w:hint="eastAsia" w:asciiTheme="minorEastAsia" w:hAnsiTheme="minorEastAsia" w:eastAsiaTheme="minorEastAsia" w:cstheme="minorEastAsia"/>
          <w:spacing w:val="7"/>
          <w:sz w:val="24"/>
          <w:szCs w:val="24"/>
        </w:rPr>
        <w:t>单。采购人或采购代理机构开标后对所有供应商信用记录进行查询，投标供应商不良信用记</w:t>
      </w:r>
      <w:r>
        <w:rPr>
          <w:rFonts w:hint="eastAsia" w:asciiTheme="minorEastAsia" w:hAnsiTheme="minorEastAsia" w:eastAsiaTheme="minorEastAsia" w:cstheme="minorEastAsia"/>
          <w:spacing w:val="10"/>
          <w:sz w:val="24"/>
          <w:szCs w:val="24"/>
        </w:rPr>
        <w:t>录以开标后查询结果为准。】</w:t>
      </w:r>
    </w:p>
    <w:p w14:paraId="15A048CD">
      <w:pPr>
        <w:spacing w:line="360" w:lineRule="auto"/>
        <w:ind w:firstLine="52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3.项目经理无在建工程承诺书</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0"/>
          <w:sz w:val="24"/>
          <w:szCs w:val="24"/>
        </w:rPr>
        <w:t>企业电子签章或盖章及法定代表人个人电子签章或盖章或</w:t>
      </w:r>
      <w:r>
        <w:rPr>
          <w:rFonts w:hint="eastAsia" w:asciiTheme="minorEastAsia" w:hAnsiTheme="minorEastAsia" w:eastAsiaTheme="minorEastAsia" w:cstheme="minorEastAsia"/>
          <w:spacing w:val="8"/>
          <w:sz w:val="24"/>
          <w:szCs w:val="24"/>
        </w:rPr>
        <w:t>签字，格式自拟</w:t>
      </w:r>
      <w:r>
        <w:rPr>
          <w:rFonts w:hint="eastAsia" w:asciiTheme="minorEastAsia" w:hAnsiTheme="minorEastAsia" w:eastAsiaTheme="minorEastAsia" w:cstheme="minorEastAsia"/>
          <w:spacing w:val="1"/>
          <w:sz w:val="24"/>
          <w:szCs w:val="24"/>
        </w:rPr>
        <w:t>）；</w:t>
      </w:r>
    </w:p>
    <w:p w14:paraId="0A3D6015">
      <w:pPr>
        <w:spacing w:line="360" w:lineRule="auto"/>
        <w:ind w:firstLine="512"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8"/>
          <w:sz w:val="24"/>
          <w:szCs w:val="24"/>
        </w:rPr>
        <w:t>4.单位负责人为同一人或者存在直接控股、管理关系的不同供应商，不得参加同一合同项下</w:t>
      </w:r>
      <w:r>
        <w:rPr>
          <w:rFonts w:hint="eastAsia" w:asciiTheme="minorEastAsia" w:hAnsiTheme="minorEastAsia" w:eastAsiaTheme="minorEastAsia" w:cstheme="minorEastAsia"/>
          <w:spacing w:val="9"/>
          <w:sz w:val="24"/>
          <w:szCs w:val="24"/>
        </w:rPr>
        <w:t>的政府采购活动的声明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9"/>
          <w:sz w:val="24"/>
          <w:szCs w:val="24"/>
        </w:rPr>
        <w:t>企业电子签章或盖章及法定代表人个人电子签章或盖章或签字，</w:t>
      </w:r>
      <w:r>
        <w:rPr>
          <w:rFonts w:hint="eastAsia" w:asciiTheme="minorEastAsia" w:hAnsiTheme="minorEastAsia" w:eastAsiaTheme="minorEastAsia" w:cstheme="minorEastAsia"/>
          <w:spacing w:val="4"/>
          <w:sz w:val="24"/>
          <w:szCs w:val="24"/>
        </w:rPr>
        <w:t>格式自拟）。</w:t>
      </w:r>
    </w:p>
    <w:p w14:paraId="3350763F">
      <w:pPr>
        <w:spacing w:line="360" w:lineRule="auto"/>
        <w:ind w:firstLine="496"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w:t>
      </w:r>
      <w:r>
        <w:rPr>
          <w:rFonts w:hint="eastAsia" w:asciiTheme="minorEastAsia" w:hAnsiTheme="minorEastAsia" w:eastAsiaTheme="minorEastAsia" w:cstheme="minorEastAsia"/>
          <w:bCs/>
          <w:sz w:val="24"/>
          <w:szCs w:val="24"/>
        </w:rPr>
        <w:t>为采购项目提供整体设计、规范编制或者项目管理、监理、检测等服务的供应商，不得再参加该采购项目的其他采购活动。（提供承诺文件）</w:t>
      </w:r>
    </w:p>
    <w:p w14:paraId="154FE8F6">
      <w:pPr>
        <w:spacing w:line="360" w:lineRule="auto"/>
        <w:ind w:firstLine="480" w:firstLineChars="200"/>
        <w:rPr>
          <w:rFonts w:asciiTheme="minorEastAsia" w:hAnsiTheme="minorEastAsia" w:eastAsiaTheme="minorEastAsia" w:cstheme="minorEastAsia"/>
          <w:sz w:val="24"/>
          <w:szCs w:val="24"/>
        </w:rPr>
        <w:sectPr>
          <w:footerReference r:id="rId17" w:type="default"/>
          <w:pgSz w:w="11906" w:h="16838"/>
          <w:pgMar w:top="1701" w:right="1531" w:bottom="1531" w:left="1531" w:header="0" w:footer="986" w:gutter="0"/>
          <w:cols w:space="0" w:num="1"/>
        </w:sectPr>
      </w:pPr>
    </w:p>
    <w:p w14:paraId="6497B3DC">
      <w:pPr>
        <w:spacing w:line="360" w:lineRule="auto"/>
        <w:jc w:val="center"/>
        <w:rPr>
          <w:b/>
          <w:bCs/>
          <w:sz w:val="28"/>
          <w:szCs w:val="28"/>
        </w:rPr>
      </w:pPr>
      <w:bookmarkStart w:id="780" w:name="bookmark95"/>
      <w:bookmarkEnd w:id="780"/>
      <w:bookmarkStart w:id="781" w:name="bookmark96"/>
      <w:bookmarkEnd w:id="781"/>
      <w:r>
        <w:rPr>
          <w:rFonts w:hint="eastAsia"/>
          <w:b/>
          <w:bCs/>
          <w:sz w:val="28"/>
          <w:szCs w:val="28"/>
        </w:rPr>
        <w:t>九、近年完成的类似项目情况表</w:t>
      </w:r>
    </w:p>
    <w:p w14:paraId="629DE48B">
      <w:pPr>
        <w:spacing w:before="134"/>
      </w:pPr>
    </w:p>
    <w:tbl>
      <w:tblPr>
        <w:tblStyle w:val="6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110A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tcPr>
          <w:p w14:paraId="36D6EF88">
            <w:pPr>
              <w:pStyle w:val="63"/>
              <w:spacing w:before="293" w:line="228" w:lineRule="auto"/>
              <w:ind w:left="724"/>
            </w:pPr>
            <w:r>
              <w:rPr>
                <w:spacing w:val="6"/>
              </w:rPr>
              <w:t>项目名称</w:t>
            </w:r>
          </w:p>
        </w:tc>
        <w:tc>
          <w:tcPr>
            <w:tcW w:w="6254" w:type="dxa"/>
          </w:tcPr>
          <w:p w14:paraId="1A98506C">
            <w:pPr>
              <w:rPr>
                <w:rFonts w:ascii="Arial"/>
              </w:rPr>
            </w:pPr>
          </w:p>
        </w:tc>
      </w:tr>
      <w:tr w14:paraId="5327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2" w:type="dxa"/>
          </w:tcPr>
          <w:p w14:paraId="42A2F63C">
            <w:pPr>
              <w:pStyle w:val="63"/>
              <w:spacing w:before="257" w:line="228" w:lineRule="auto"/>
              <w:ind w:left="620"/>
            </w:pPr>
            <w:r>
              <w:rPr>
                <w:spacing w:val="7"/>
              </w:rPr>
              <w:t>项目所在地</w:t>
            </w:r>
          </w:p>
        </w:tc>
        <w:tc>
          <w:tcPr>
            <w:tcW w:w="6254" w:type="dxa"/>
          </w:tcPr>
          <w:p w14:paraId="39087ED3">
            <w:pPr>
              <w:rPr>
                <w:rFonts w:ascii="Arial"/>
              </w:rPr>
            </w:pPr>
          </w:p>
        </w:tc>
      </w:tr>
      <w:tr w14:paraId="3E2D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2" w:type="dxa"/>
          </w:tcPr>
          <w:p w14:paraId="0F368DD1">
            <w:pPr>
              <w:pStyle w:val="63"/>
              <w:spacing w:before="260" w:line="228" w:lineRule="auto"/>
              <w:ind w:left="620"/>
            </w:pPr>
            <w:r>
              <w:rPr>
                <w:spacing w:val="7"/>
              </w:rPr>
              <w:t>发包人名称</w:t>
            </w:r>
          </w:p>
        </w:tc>
        <w:tc>
          <w:tcPr>
            <w:tcW w:w="6254" w:type="dxa"/>
          </w:tcPr>
          <w:p w14:paraId="6539B662">
            <w:pPr>
              <w:rPr>
                <w:rFonts w:ascii="Arial"/>
              </w:rPr>
            </w:pPr>
          </w:p>
        </w:tc>
      </w:tr>
      <w:tr w14:paraId="1054E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tcPr>
          <w:p w14:paraId="1B2DE859">
            <w:pPr>
              <w:pStyle w:val="63"/>
              <w:spacing w:before="258" w:line="228" w:lineRule="auto"/>
              <w:ind w:left="620"/>
            </w:pPr>
            <w:r>
              <w:rPr>
                <w:spacing w:val="7"/>
              </w:rPr>
              <w:t>发包人地址</w:t>
            </w:r>
          </w:p>
        </w:tc>
        <w:tc>
          <w:tcPr>
            <w:tcW w:w="6254" w:type="dxa"/>
          </w:tcPr>
          <w:p w14:paraId="4900F412">
            <w:pPr>
              <w:rPr>
                <w:rFonts w:ascii="Arial"/>
              </w:rPr>
            </w:pPr>
          </w:p>
        </w:tc>
      </w:tr>
      <w:tr w14:paraId="3A4E9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tcPr>
          <w:p w14:paraId="62374A69">
            <w:pPr>
              <w:pStyle w:val="63"/>
              <w:spacing w:before="262" w:line="228" w:lineRule="auto"/>
              <w:ind w:left="620"/>
            </w:pPr>
            <w:r>
              <w:rPr>
                <w:spacing w:val="7"/>
              </w:rPr>
              <w:t>发包人电话</w:t>
            </w:r>
          </w:p>
        </w:tc>
        <w:tc>
          <w:tcPr>
            <w:tcW w:w="6254" w:type="dxa"/>
          </w:tcPr>
          <w:p w14:paraId="61672158">
            <w:pPr>
              <w:rPr>
                <w:rFonts w:ascii="Arial"/>
              </w:rPr>
            </w:pPr>
          </w:p>
        </w:tc>
      </w:tr>
      <w:tr w14:paraId="306C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272" w:type="dxa"/>
          </w:tcPr>
          <w:p w14:paraId="416633E6">
            <w:pPr>
              <w:pStyle w:val="63"/>
              <w:spacing w:before="257" w:line="226" w:lineRule="auto"/>
              <w:ind w:left="721"/>
            </w:pPr>
            <w:r>
              <w:rPr>
                <w:spacing w:val="7"/>
              </w:rPr>
              <w:t>合同价格</w:t>
            </w:r>
          </w:p>
        </w:tc>
        <w:tc>
          <w:tcPr>
            <w:tcW w:w="6254" w:type="dxa"/>
          </w:tcPr>
          <w:p w14:paraId="15443C4A">
            <w:pPr>
              <w:rPr>
                <w:rFonts w:ascii="Arial"/>
              </w:rPr>
            </w:pPr>
          </w:p>
        </w:tc>
      </w:tr>
      <w:tr w14:paraId="2BDF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272" w:type="dxa"/>
          </w:tcPr>
          <w:p w14:paraId="31304F14">
            <w:pPr>
              <w:pStyle w:val="63"/>
              <w:spacing w:before="256" w:line="228" w:lineRule="auto"/>
              <w:ind w:left="721"/>
            </w:pPr>
            <w:r>
              <w:rPr>
                <w:spacing w:val="7"/>
              </w:rPr>
              <w:t>开工日期</w:t>
            </w:r>
          </w:p>
        </w:tc>
        <w:tc>
          <w:tcPr>
            <w:tcW w:w="6254" w:type="dxa"/>
          </w:tcPr>
          <w:p w14:paraId="098D2392">
            <w:pPr>
              <w:rPr>
                <w:rFonts w:ascii="Arial"/>
              </w:rPr>
            </w:pPr>
          </w:p>
        </w:tc>
      </w:tr>
      <w:tr w14:paraId="6626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72" w:type="dxa"/>
          </w:tcPr>
          <w:p w14:paraId="7B54AA3F">
            <w:pPr>
              <w:pStyle w:val="63"/>
              <w:spacing w:before="266" w:line="228" w:lineRule="auto"/>
              <w:ind w:left="721"/>
            </w:pPr>
            <w:r>
              <w:rPr>
                <w:spacing w:val="7"/>
              </w:rPr>
              <w:t>竣工日期</w:t>
            </w:r>
          </w:p>
        </w:tc>
        <w:tc>
          <w:tcPr>
            <w:tcW w:w="6254" w:type="dxa"/>
          </w:tcPr>
          <w:p w14:paraId="7BAC08E9">
            <w:pPr>
              <w:rPr>
                <w:rFonts w:ascii="Arial"/>
              </w:rPr>
            </w:pPr>
          </w:p>
        </w:tc>
      </w:tr>
      <w:tr w14:paraId="7AE99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272" w:type="dxa"/>
          </w:tcPr>
          <w:p w14:paraId="0AF13C2D">
            <w:pPr>
              <w:pStyle w:val="63"/>
              <w:spacing w:before="256" w:line="228" w:lineRule="auto"/>
              <w:ind w:left="617"/>
            </w:pPr>
            <w:r>
              <w:rPr>
                <w:spacing w:val="8"/>
              </w:rPr>
              <w:t>承担的工作</w:t>
            </w:r>
          </w:p>
        </w:tc>
        <w:tc>
          <w:tcPr>
            <w:tcW w:w="6254" w:type="dxa"/>
          </w:tcPr>
          <w:p w14:paraId="27493D22">
            <w:pPr>
              <w:rPr>
                <w:rFonts w:ascii="Arial"/>
              </w:rPr>
            </w:pPr>
          </w:p>
        </w:tc>
      </w:tr>
      <w:tr w14:paraId="250A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72" w:type="dxa"/>
          </w:tcPr>
          <w:p w14:paraId="7B586BFD">
            <w:pPr>
              <w:pStyle w:val="63"/>
              <w:spacing w:before="261" w:line="228" w:lineRule="auto"/>
              <w:ind w:left="723"/>
            </w:pPr>
            <w:r>
              <w:rPr>
                <w:spacing w:val="6"/>
              </w:rPr>
              <w:t>工程质量</w:t>
            </w:r>
          </w:p>
        </w:tc>
        <w:tc>
          <w:tcPr>
            <w:tcW w:w="6254" w:type="dxa"/>
          </w:tcPr>
          <w:p w14:paraId="5641B7EB">
            <w:pPr>
              <w:rPr>
                <w:rFonts w:ascii="Arial"/>
              </w:rPr>
            </w:pPr>
          </w:p>
        </w:tc>
      </w:tr>
      <w:tr w14:paraId="11BA7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72" w:type="dxa"/>
          </w:tcPr>
          <w:p w14:paraId="790BB990">
            <w:pPr>
              <w:pStyle w:val="63"/>
              <w:spacing w:before="258" w:line="228" w:lineRule="auto"/>
              <w:ind w:left="724"/>
            </w:pPr>
            <w:r>
              <w:rPr>
                <w:spacing w:val="6"/>
              </w:rPr>
              <w:t>项目经理</w:t>
            </w:r>
          </w:p>
        </w:tc>
        <w:tc>
          <w:tcPr>
            <w:tcW w:w="6254" w:type="dxa"/>
          </w:tcPr>
          <w:p w14:paraId="06784178">
            <w:pPr>
              <w:rPr>
                <w:rFonts w:ascii="Arial"/>
              </w:rPr>
            </w:pPr>
          </w:p>
        </w:tc>
      </w:tr>
      <w:tr w14:paraId="46C7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tcPr>
          <w:p w14:paraId="2094A6A8">
            <w:pPr>
              <w:pStyle w:val="63"/>
              <w:spacing w:before="262" w:line="228" w:lineRule="auto"/>
              <w:ind w:left="618"/>
            </w:pPr>
            <w:r>
              <w:rPr>
                <w:spacing w:val="7"/>
              </w:rPr>
              <w:t>技术负责人</w:t>
            </w:r>
          </w:p>
        </w:tc>
        <w:tc>
          <w:tcPr>
            <w:tcW w:w="6254" w:type="dxa"/>
          </w:tcPr>
          <w:p w14:paraId="3E192637">
            <w:pPr>
              <w:rPr>
                <w:rFonts w:ascii="Arial"/>
              </w:rPr>
            </w:pPr>
          </w:p>
        </w:tc>
      </w:tr>
      <w:tr w14:paraId="2EBE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2" w:type="dxa"/>
          </w:tcPr>
          <w:p w14:paraId="58D9D196">
            <w:pPr>
              <w:spacing w:line="284" w:lineRule="auto"/>
              <w:rPr>
                <w:rFonts w:ascii="Arial"/>
              </w:rPr>
            </w:pPr>
          </w:p>
          <w:p w14:paraId="532FC0F3">
            <w:pPr>
              <w:spacing w:line="284" w:lineRule="auto"/>
              <w:rPr>
                <w:rFonts w:ascii="Arial"/>
              </w:rPr>
            </w:pPr>
          </w:p>
          <w:p w14:paraId="4F7EDF43">
            <w:pPr>
              <w:spacing w:line="284" w:lineRule="auto"/>
              <w:rPr>
                <w:rFonts w:ascii="Arial"/>
              </w:rPr>
            </w:pPr>
          </w:p>
          <w:p w14:paraId="73942A12">
            <w:pPr>
              <w:spacing w:line="284" w:lineRule="auto"/>
              <w:rPr>
                <w:rFonts w:ascii="Arial"/>
              </w:rPr>
            </w:pPr>
          </w:p>
          <w:p w14:paraId="52C4E6A6">
            <w:pPr>
              <w:spacing w:line="285" w:lineRule="auto"/>
              <w:rPr>
                <w:rFonts w:ascii="Arial"/>
              </w:rPr>
            </w:pPr>
          </w:p>
          <w:p w14:paraId="017C436E">
            <w:pPr>
              <w:pStyle w:val="63"/>
              <w:spacing w:before="65" w:line="228" w:lineRule="auto"/>
              <w:ind w:left="724"/>
            </w:pPr>
            <w:r>
              <w:rPr>
                <w:spacing w:val="6"/>
              </w:rPr>
              <w:t>项目描述</w:t>
            </w:r>
          </w:p>
        </w:tc>
        <w:tc>
          <w:tcPr>
            <w:tcW w:w="6254" w:type="dxa"/>
          </w:tcPr>
          <w:p w14:paraId="3829710B">
            <w:pPr>
              <w:rPr>
                <w:rFonts w:ascii="Arial"/>
              </w:rPr>
            </w:pPr>
          </w:p>
        </w:tc>
      </w:tr>
      <w:tr w14:paraId="7A81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tcPr>
          <w:p w14:paraId="43FEAC23">
            <w:pPr>
              <w:pStyle w:val="63"/>
              <w:spacing w:before="259" w:line="229" w:lineRule="auto"/>
              <w:ind w:left="934"/>
            </w:pPr>
            <w:r>
              <w:rPr>
                <w:spacing w:val="3"/>
              </w:rPr>
              <w:t>备注</w:t>
            </w:r>
          </w:p>
        </w:tc>
        <w:tc>
          <w:tcPr>
            <w:tcW w:w="6254" w:type="dxa"/>
          </w:tcPr>
          <w:p w14:paraId="06106CDD">
            <w:pPr>
              <w:rPr>
                <w:rFonts w:ascii="Arial"/>
              </w:rPr>
            </w:pPr>
          </w:p>
        </w:tc>
      </w:tr>
    </w:tbl>
    <w:p w14:paraId="173A9653">
      <w:pPr>
        <w:pStyle w:val="9"/>
      </w:pPr>
    </w:p>
    <w:p w14:paraId="39E279A4">
      <w:pPr>
        <w:sectPr>
          <w:footerReference r:id="rId18" w:type="default"/>
          <w:pgSz w:w="11906" w:h="16838"/>
          <w:pgMar w:top="1701" w:right="1531" w:bottom="1531" w:left="1531" w:header="0" w:footer="986" w:gutter="0"/>
          <w:cols w:space="0" w:num="1"/>
        </w:sectPr>
      </w:pPr>
    </w:p>
    <w:p w14:paraId="36DA6E0F">
      <w:pPr>
        <w:spacing w:line="360" w:lineRule="auto"/>
        <w:jc w:val="center"/>
        <w:rPr>
          <w:b/>
          <w:bCs/>
          <w:sz w:val="28"/>
          <w:szCs w:val="28"/>
        </w:rPr>
      </w:pPr>
      <w:bookmarkStart w:id="782" w:name="bookmark97"/>
      <w:bookmarkEnd w:id="782"/>
      <w:bookmarkStart w:id="783" w:name="bookmark98"/>
      <w:bookmarkEnd w:id="783"/>
      <w:r>
        <w:rPr>
          <w:rFonts w:hint="eastAsia"/>
          <w:b/>
          <w:bCs/>
          <w:sz w:val="28"/>
          <w:szCs w:val="28"/>
        </w:rPr>
        <w:t>十、正在实施的和新承接的项目情况表</w:t>
      </w:r>
    </w:p>
    <w:tbl>
      <w:tblPr>
        <w:tblStyle w:val="6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6404"/>
      </w:tblGrid>
      <w:tr w14:paraId="0EED8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122" w:type="dxa"/>
          </w:tcPr>
          <w:p w14:paraId="0D1F4E7B">
            <w:pPr>
              <w:pStyle w:val="63"/>
              <w:spacing w:before="293" w:line="228" w:lineRule="auto"/>
              <w:ind w:left="649"/>
            </w:pPr>
            <w:r>
              <w:rPr>
                <w:spacing w:val="6"/>
              </w:rPr>
              <w:t>项目名称</w:t>
            </w:r>
          </w:p>
        </w:tc>
        <w:tc>
          <w:tcPr>
            <w:tcW w:w="6404" w:type="dxa"/>
          </w:tcPr>
          <w:p w14:paraId="2387B0A7">
            <w:pPr>
              <w:rPr>
                <w:rFonts w:ascii="Arial"/>
              </w:rPr>
            </w:pPr>
          </w:p>
        </w:tc>
      </w:tr>
      <w:tr w14:paraId="0168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122" w:type="dxa"/>
          </w:tcPr>
          <w:p w14:paraId="57ADE7DB">
            <w:pPr>
              <w:pStyle w:val="63"/>
              <w:spacing w:before="257" w:line="228" w:lineRule="auto"/>
              <w:ind w:left="544"/>
            </w:pPr>
            <w:r>
              <w:rPr>
                <w:spacing w:val="7"/>
              </w:rPr>
              <w:t>项目所在地</w:t>
            </w:r>
          </w:p>
        </w:tc>
        <w:tc>
          <w:tcPr>
            <w:tcW w:w="6404" w:type="dxa"/>
          </w:tcPr>
          <w:p w14:paraId="6BF07C1B">
            <w:pPr>
              <w:rPr>
                <w:rFonts w:ascii="Arial"/>
              </w:rPr>
            </w:pPr>
          </w:p>
        </w:tc>
      </w:tr>
      <w:tr w14:paraId="25A4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22" w:type="dxa"/>
          </w:tcPr>
          <w:p w14:paraId="2AE1190A">
            <w:pPr>
              <w:pStyle w:val="63"/>
              <w:spacing w:before="260" w:line="228" w:lineRule="auto"/>
              <w:ind w:left="544"/>
            </w:pPr>
            <w:r>
              <w:rPr>
                <w:spacing w:val="7"/>
              </w:rPr>
              <w:t>发包人名称</w:t>
            </w:r>
          </w:p>
        </w:tc>
        <w:tc>
          <w:tcPr>
            <w:tcW w:w="6404" w:type="dxa"/>
          </w:tcPr>
          <w:p w14:paraId="44992BD8">
            <w:pPr>
              <w:rPr>
                <w:rFonts w:ascii="Arial"/>
              </w:rPr>
            </w:pPr>
          </w:p>
        </w:tc>
      </w:tr>
      <w:tr w14:paraId="01C6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22" w:type="dxa"/>
          </w:tcPr>
          <w:p w14:paraId="4F3E222A">
            <w:pPr>
              <w:pStyle w:val="63"/>
              <w:spacing w:before="258" w:line="228" w:lineRule="auto"/>
              <w:ind w:left="544"/>
            </w:pPr>
            <w:r>
              <w:rPr>
                <w:spacing w:val="7"/>
              </w:rPr>
              <w:t>发包人地址</w:t>
            </w:r>
          </w:p>
        </w:tc>
        <w:tc>
          <w:tcPr>
            <w:tcW w:w="6404" w:type="dxa"/>
          </w:tcPr>
          <w:p w14:paraId="285B9FBF">
            <w:pPr>
              <w:rPr>
                <w:rFonts w:ascii="Arial"/>
              </w:rPr>
            </w:pPr>
          </w:p>
        </w:tc>
      </w:tr>
      <w:tr w14:paraId="441F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tcPr>
          <w:p w14:paraId="3A086D04">
            <w:pPr>
              <w:pStyle w:val="63"/>
              <w:spacing w:before="262" w:line="228" w:lineRule="auto"/>
              <w:ind w:left="544"/>
            </w:pPr>
            <w:r>
              <w:rPr>
                <w:spacing w:val="7"/>
              </w:rPr>
              <w:t>发包人电话</w:t>
            </w:r>
          </w:p>
        </w:tc>
        <w:tc>
          <w:tcPr>
            <w:tcW w:w="6404" w:type="dxa"/>
          </w:tcPr>
          <w:p w14:paraId="5CD9A71A">
            <w:pPr>
              <w:rPr>
                <w:rFonts w:ascii="Arial"/>
              </w:rPr>
            </w:pPr>
          </w:p>
        </w:tc>
      </w:tr>
      <w:tr w14:paraId="109C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22" w:type="dxa"/>
          </w:tcPr>
          <w:p w14:paraId="1466C07A">
            <w:pPr>
              <w:pStyle w:val="63"/>
              <w:spacing w:before="257" w:line="226" w:lineRule="auto"/>
              <w:ind w:left="540"/>
            </w:pPr>
            <w:r>
              <w:rPr>
                <w:spacing w:val="8"/>
              </w:rPr>
              <w:t>签约合同价</w:t>
            </w:r>
          </w:p>
        </w:tc>
        <w:tc>
          <w:tcPr>
            <w:tcW w:w="6404" w:type="dxa"/>
          </w:tcPr>
          <w:p w14:paraId="16DCFE8C">
            <w:pPr>
              <w:rPr>
                <w:rFonts w:ascii="Arial"/>
              </w:rPr>
            </w:pPr>
          </w:p>
        </w:tc>
      </w:tr>
      <w:tr w14:paraId="1EDD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22" w:type="dxa"/>
          </w:tcPr>
          <w:p w14:paraId="1BA7FFB4">
            <w:pPr>
              <w:pStyle w:val="63"/>
              <w:spacing w:before="256" w:line="228" w:lineRule="auto"/>
              <w:ind w:left="647"/>
            </w:pPr>
            <w:r>
              <w:rPr>
                <w:spacing w:val="7"/>
              </w:rPr>
              <w:t>开工日期</w:t>
            </w:r>
          </w:p>
        </w:tc>
        <w:tc>
          <w:tcPr>
            <w:tcW w:w="6404" w:type="dxa"/>
          </w:tcPr>
          <w:p w14:paraId="0ACBFCDD">
            <w:pPr>
              <w:rPr>
                <w:rFonts w:ascii="Arial"/>
              </w:rPr>
            </w:pPr>
          </w:p>
        </w:tc>
      </w:tr>
      <w:tr w14:paraId="2F3B2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122" w:type="dxa"/>
          </w:tcPr>
          <w:p w14:paraId="0999ED59">
            <w:pPr>
              <w:pStyle w:val="63"/>
              <w:spacing w:before="266" w:line="228" w:lineRule="auto"/>
              <w:ind w:left="437"/>
            </w:pPr>
            <w:r>
              <w:rPr>
                <w:spacing w:val="8"/>
              </w:rPr>
              <w:t>计划竣工日期</w:t>
            </w:r>
          </w:p>
        </w:tc>
        <w:tc>
          <w:tcPr>
            <w:tcW w:w="6404" w:type="dxa"/>
          </w:tcPr>
          <w:p w14:paraId="771996F1">
            <w:pPr>
              <w:rPr>
                <w:rFonts w:ascii="Arial"/>
              </w:rPr>
            </w:pPr>
          </w:p>
        </w:tc>
      </w:tr>
      <w:tr w14:paraId="28EEB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22" w:type="dxa"/>
          </w:tcPr>
          <w:p w14:paraId="3FA5CA2A">
            <w:pPr>
              <w:pStyle w:val="63"/>
              <w:spacing w:before="256" w:line="228" w:lineRule="auto"/>
              <w:ind w:left="540"/>
            </w:pPr>
            <w:r>
              <w:rPr>
                <w:spacing w:val="8"/>
              </w:rPr>
              <w:t>承担的工作</w:t>
            </w:r>
          </w:p>
        </w:tc>
        <w:tc>
          <w:tcPr>
            <w:tcW w:w="6404" w:type="dxa"/>
          </w:tcPr>
          <w:p w14:paraId="1429E708">
            <w:pPr>
              <w:rPr>
                <w:rFonts w:ascii="Arial"/>
              </w:rPr>
            </w:pPr>
          </w:p>
        </w:tc>
      </w:tr>
      <w:tr w14:paraId="2568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122" w:type="dxa"/>
          </w:tcPr>
          <w:p w14:paraId="6FC8DD4A">
            <w:pPr>
              <w:pStyle w:val="63"/>
              <w:spacing w:before="261" w:line="228" w:lineRule="auto"/>
              <w:ind w:left="648"/>
            </w:pPr>
            <w:r>
              <w:rPr>
                <w:spacing w:val="6"/>
              </w:rPr>
              <w:t>工程质量</w:t>
            </w:r>
          </w:p>
        </w:tc>
        <w:tc>
          <w:tcPr>
            <w:tcW w:w="6404" w:type="dxa"/>
          </w:tcPr>
          <w:p w14:paraId="2AF36CDC">
            <w:pPr>
              <w:rPr>
                <w:rFonts w:ascii="Arial"/>
              </w:rPr>
            </w:pPr>
          </w:p>
        </w:tc>
      </w:tr>
      <w:tr w14:paraId="7935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122" w:type="dxa"/>
          </w:tcPr>
          <w:p w14:paraId="4DF18CA7">
            <w:pPr>
              <w:pStyle w:val="63"/>
              <w:spacing w:before="258" w:line="228" w:lineRule="auto"/>
              <w:ind w:left="649"/>
            </w:pPr>
            <w:r>
              <w:rPr>
                <w:spacing w:val="6"/>
              </w:rPr>
              <w:t>项目经理</w:t>
            </w:r>
          </w:p>
        </w:tc>
        <w:tc>
          <w:tcPr>
            <w:tcW w:w="6404" w:type="dxa"/>
          </w:tcPr>
          <w:p w14:paraId="3C895BA4">
            <w:pPr>
              <w:rPr>
                <w:rFonts w:ascii="Arial"/>
              </w:rPr>
            </w:pPr>
          </w:p>
        </w:tc>
      </w:tr>
      <w:tr w14:paraId="24370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tcPr>
          <w:p w14:paraId="5F19F7F2">
            <w:pPr>
              <w:pStyle w:val="63"/>
              <w:spacing w:before="262" w:line="228" w:lineRule="auto"/>
              <w:ind w:left="541"/>
            </w:pPr>
            <w:r>
              <w:rPr>
                <w:spacing w:val="7"/>
              </w:rPr>
              <w:t>技术负责人</w:t>
            </w:r>
          </w:p>
        </w:tc>
        <w:tc>
          <w:tcPr>
            <w:tcW w:w="6404" w:type="dxa"/>
          </w:tcPr>
          <w:p w14:paraId="3A946D7F">
            <w:pPr>
              <w:rPr>
                <w:rFonts w:ascii="Arial"/>
              </w:rPr>
            </w:pPr>
          </w:p>
        </w:tc>
      </w:tr>
      <w:tr w14:paraId="06E6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122" w:type="dxa"/>
          </w:tcPr>
          <w:p w14:paraId="00661C7A">
            <w:pPr>
              <w:spacing w:line="284" w:lineRule="auto"/>
              <w:rPr>
                <w:rFonts w:ascii="Arial"/>
              </w:rPr>
            </w:pPr>
          </w:p>
          <w:p w14:paraId="493C904C">
            <w:pPr>
              <w:spacing w:line="284" w:lineRule="auto"/>
              <w:rPr>
                <w:rFonts w:ascii="Arial"/>
              </w:rPr>
            </w:pPr>
          </w:p>
          <w:p w14:paraId="02D44995">
            <w:pPr>
              <w:spacing w:line="284" w:lineRule="auto"/>
              <w:rPr>
                <w:rFonts w:ascii="Arial"/>
              </w:rPr>
            </w:pPr>
          </w:p>
          <w:p w14:paraId="57BE4CB4">
            <w:pPr>
              <w:spacing w:line="284" w:lineRule="auto"/>
              <w:rPr>
                <w:rFonts w:ascii="Arial"/>
              </w:rPr>
            </w:pPr>
          </w:p>
          <w:p w14:paraId="437C9A64">
            <w:pPr>
              <w:spacing w:line="285" w:lineRule="auto"/>
              <w:rPr>
                <w:rFonts w:ascii="Arial"/>
              </w:rPr>
            </w:pPr>
          </w:p>
          <w:p w14:paraId="27CD2CE9">
            <w:pPr>
              <w:pStyle w:val="63"/>
              <w:spacing w:before="65" w:line="228" w:lineRule="auto"/>
              <w:ind w:left="649"/>
            </w:pPr>
            <w:r>
              <w:rPr>
                <w:spacing w:val="6"/>
              </w:rPr>
              <w:t>项目描述</w:t>
            </w:r>
          </w:p>
        </w:tc>
        <w:tc>
          <w:tcPr>
            <w:tcW w:w="6404" w:type="dxa"/>
          </w:tcPr>
          <w:p w14:paraId="297F3AD8">
            <w:pPr>
              <w:rPr>
                <w:rFonts w:ascii="Arial"/>
              </w:rPr>
            </w:pPr>
          </w:p>
        </w:tc>
      </w:tr>
      <w:tr w14:paraId="158E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122" w:type="dxa"/>
          </w:tcPr>
          <w:p w14:paraId="7C460EC7">
            <w:pPr>
              <w:pStyle w:val="63"/>
              <w:spacing w:before="230" w:line="229" w:lineRule="auto"/>
              <w:ind w:left="860"/>
            </w:pPr>
            <w:r>
              <w:rPr>
                <w:spacing w:val="3"/>
              </w:rPr>
              <w:t>备注</w:t>
            </w:r>
          </w:p>
        </w:tc>
        <w:tc>
          <w:tcPr>
            <w:tcW w:w="6404" w:type="dxa"/>
          </w:tcPr>
          <w:p w14:paraId="0AF1C0E1">
            <w:pPr>
              <w:rPr>
                <w:rFonts w:ascii="Arial"/>
              </w:rPr>
            </w:pPr>
          </w:p>
        </w:tc>
      </w:tr>
    </w:tbl>
    <w:p w14:paraId="0AA8C08E">
      <w:pPr>
        <w:pStyle w:val="9"/>
      </w:pPr>
    </w:p>
    <w:p w14:paraId="11722FB2">
      <w:pPr>
        <w:sectPr>
          <w:footerReference r:id="rId19" w:type="default"/>
          <w:pgSz w:w="11906" w:h="16838"/>
          <w:pgMar w:top="1701" w:right="1531" w:bottom="1531" w:left="1531" w:header="0" w:footer="986" w:gutter="0"/>
          <w:cols w:space="0" w:num="1"/>
        </w:sectPr>
      </w:pPr>
    </w:p>
    <w:p w14:paraId="7473348D">
      <w:pPr>
        <w:spacing w:line="360" w:lineRule="auto"/>
        <w:jc w:val="center"/>
        <w:rPr>
          <w:b/>
          <w:bCs/>
          <w:sz w:val="28"/>
          <w:szCs w:val="28"/>
        </w:rPr>
      </w:pPr>
      <w:bookmarkStart w:id="784" w:name="bookmark99"/>
      <w:bookmarkEnd w:id="784"/>
      <w:bookmarkStart w:id="785" w:name="bookmark100"/>
      <w:bookmarkEnd w:id="785"/>
      <w:r>
        <w:rPr>
          <w:rFonts w:hint="eastAsia"/>
          <w:b/>
          <w:bCs/>
          <w:sz w:val="28"/>
          <w:szCs w:val="28"/>
        </w:rPr>
        <w:t>十一、服务承诺</w:t>
      </w:r>
    </w:p>
    <w:p w14:paraId="26F831A8">
      <w:pPr>
        <w:spacing w:line="360" w:lineRule="auto"/>
        <w:jc w:val="center"/>
        <w:rPr>
          <w:b/>
          <w:bCs/>
          <w:sz w:val="28"/>
          <w:szCs w:val="28"/>
        </w:rPr>
        <w:sectPr>
          <w:footerReference r:id="rId20" w:type="default"/>
          <w:pgSz w:w="11906" w:h="16838"/>
          <w:pgMar w:top="1701" w:right="1531" w:bottom="1531" w:left="1531" w:header="0" w:footer="986" w:gutter="0"/>
          <w:cols w:space="0" w:num="1"/>
        </w:sectPr>
      </w:pPr>
    </w:p>
    <w:p w14:paraId="013CE083">
      <w:pPr>
        <w:spacing w:line="360" w:lineRule="auto"/>
        <w:jc w:val="center"/>
        <w:rPr>
          <w:b/>
          <w:bCs/>
          <w:sz w:val="28"/>
          <w:szCs w:val="28"/>
        </w:rPr>
      </w:pPr>
      <w:bookmarkStart w:id="786" w:name="bookmark104"/>
      <w:bookmarkEnd w:id="786"/>
      <w:bookmarkStart w:id="787" w:name="bookmark101"/>
      <w:bookmarkEnd w:id="787"/>
      <w:bookmarkStart w:id="788" w:name="bookmark102"/>
      <w:bookmarkEnd w:id="788"/>
      <w:r>
        <w:rPr>
          <w:rFonts w:hint="eastAsia"/>
          <w:b/>
          <w:bCs/>
          <w:sz w:val="28"/>
          <w:szCs w:val="28"/>
        </w:rPr>
        <w:t>十二、中小企业声明函</w:t>
      </w:r>
    </w:p>
    <w:p w14:paraId="151B0ADE">
      <w:pPr>
        <w:spacing w:line="360" w:lineRule="auto"/>
        <w:jc w:val="center"/>
        <w:rPr>
          <w:b/>
          <w:bCs/>
          <w:sz w:val="28"/>
          <w:szCs w:val="28"/>
        </w:rPr>
      </w:pPr>
      <w:bookmarkStart w:id="789" w:name="bookmark103"/>
      <w:bookmarkEnd w:id="789"/>
      <w:r>
        <w:rPr>
          <w:rFonts w:hint="eastAsia" w:asciiTheme="minorEastAsia" w:hAnsiTheme="minorEastAsia" w:eastAsiaTheme="minorEastAsia" w:cstheme="minorEastAsia"/>
          <w:b/>
          <w:bCs/>
          <w:sz w:val="24"/>
          <w:szCs w:val="24"/>
        </w:rPr>
        <w:t>1.中小企业声明函（工程、服务）</w:t>
      </w:r>
    </w:p>
    <w:p w14:paraId="2735F647">
      <w:pPr>
        <w:spacing w:line="360" w:lineRule="auto"/>
        <w:ind w:firstLine="47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本公司（联合体）郑重声明，根据《政府采购促进中小企业发展管理办法》</w:t>
      </w:r>
      <w:r>
        <w:rPr>
          <w:rFonts w:hint="eastAsia" w:asciiTheme="minorEastAsia" w:hAnsiTheme="minorEastAsia" w:eastAsiaTheme="minorEastAsia" w:cstheme="minorEastAsia"/>
          <w:spacing w:val="-6"/>
          <w:sz w:val="24"/>
          <w:szCs w:val="24"/>
        </w:rPr>
        <w:t>（财库﹝2020﹞46  号）的规定，本公司（联合体）参加</w:t>
      </w:r>
      <w:r>
        <w:rPr>
          <w:rFonts w:hint="eastAsia" w:asciiTheme="minorEastAsia" w:hAnsiTheme="minorEastAsia" w:eastAsiaTheme="minorEastAsia" w:cstheme="minorEastAsia"/>
          <w:spacing w:val="-6"/>
          <w:sz w:val="24"/>
          <w:szCs w:val="24"/>
          <w:u w:val="single"/>
        </w:rPr>
        <w:t>（单位名称）</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u w:val="single"/>
        </w:rPr>
        <w:t>（项目</w:t>
      </w:r>
      <w:r>
        <w:rPr>
          <w:rFonts w:hint="eastAsia" w:asciiTheme="minorEastAsia" w:hAnsiTheme="minorEastAsia" w:eastAsiaTheme="minorEastAsia" w:cstheme="minorEastAsia"/>
          <w:spacing w:val="-4"/>
          <w:sz w:val="24"/>
          <w:szCs w:val="24"/>
          <w:u w:val="single"/>
        </w:rPr>
        <w:t>名称）</w:t>
      </w:r>
      <w:r>
        <w:rPr>
          <w:rFonts w:hint="eastAsia" w:asciiTheme="minorEastAsia" w:hAnsiTheme="minorEastAsia" w:eastAsiaTheme="minorEastAsia" w:cstheme="minorEastAsia"/>
          <w:spacing w:val="-4"/>
          <w:sz w:val="24"/>
          <w:szCs w:val="24"/>
        </w:rPr>
        <w:t>采购活动，工程的施工单位全部为符合政策要求的中小企业（或者：服务</w:t>
      </w:r>
      <w:r>
        <w:rPr>
          <w:rFonts w:hint="eastAsia" w:asciiTheme="minorEastAsia" w:hAnsiTheme="minorEastAsia" w:eastAsiaTheme="minorEastAsia" w:cstheme="minorEastAsia"/>
          <w:spacing w:val="-3"/>
          <w:sz w:val="24"/>
          <w:szCs w:val="24"/>
        </w:rPr>
        <w:t>全部由符合政策要求的中小企业承接）。相关企业（含联合体中的中小企业、签</w:t>
      </w:r>
      <w:r>
        <w:rPr>
          <w:rFonts w:hint="eastAsia" w:asciiTheme="minorEastAsia" w:hAnsiTheme="minorEastAsia" w:eastAsiaTheme="minorEastAsia" w:cstheme="minorEastAsia"/>
          <w:spacing w:val="-1"/>
          <w:sz w:val="24"/>
          <w:szCs w:val="24"/>
        </w:rPr>
        <w:t>订分包意向协议的中小企业）的具体情况如下：</w:t>
      </w:r>
    </w:p>
    <w:p w14:paraId="132F16F0">
      <w:pPr>
        <w:spacing w:line="360" w:lineRule="auto"/>
        <w:ind w:firstLine="46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u w:val="single"/>
        </w:rPr>
        <w:t>（标的名称</w:t>
      </w:r>
      <w:r>
        <w:rPr>
          <w:rFonts w:hint="eastAsia" w:asciiTheme="minorEastAsia" w:hAnsiTheme="minorEastAsia" w:eastAsiaTheme="minorEastAsia" w:cstheme="minorEastAsia"/>
          <w:spacing w:val="-21"/>
          <w:sz w:val="24"/>
          <w:szCs w:val="24"/>
          <w:u w:val="single"/>
        </w:rPr>
        <w:t>）</w:t>
      </w:r>
      <w:r>
        <w:rPr>
          <w:rFonts w:hint="eastAsia" w:asciiTheme="minorEastAsia" w:hAnsiTheme="minorEastAsia" w:eastAsiaTheme="minorEastAsia" w:cstheme="minorEastAsia"/>
          <w:spacing w:val="-78"/>
          <w:sz w:val="24"/>
          <w:szCs w:val="24"/>
          <w:u w:val="single"/>
        </w:rPr>
        <w:t xml:space="preserve"> </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5"/>
          <w:sz w:val="24"/>
          <w:szCs w:val="24"/>
        </w:rPr>
        <w:t>属于</w:t>
      </w:r>
      <w:r>
        <w:rPr>
          <w:rFonts w:hint="eastAsia" w:asciiTheme="minorEastAsia" w:hAnsiTheme="minorEastAsia" w:eastAsiaTheme="minorEastAsia" w:cstheme="minorEastAsia"/>
          <w:spacing w:val="-5"/>
          <w:sz w:val="24"/>
          <w:szCs w:val="24"/>
          <w:u w:val="single"/>
        </w:rPr>
        <w:t>（采购文件中明确的所属行业</w:t>
      </w:r>
      <w:r>
        <w:rPr>
          <w:rFonts w:hint="eastAsia" w:asciiTheme="minorEastAsia" w:hAnsiTheme="minorEastAsia" w:eastAsiaTheme="minorEastAsia" w:cstheme="minorEastAsia"/>
          <w:spacing w:val="-21"/>
          <w:sz w:val="24"/>
          <w:szCs w:val="24"/>
          <w:u w:val="single"/>
        </w:rPr>
        <w:t>）</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5"/>
          <w:sz w:val="24"/>
          <w:szCs w:val="24"/>
        </w:rPr>
        <w:t>承建（承接）企业</w:t>
      </w:r>
      <w:r>
        <w:rPr>
          <w:rFonts w:hint="eastAsia" w:asciiTheme="minorEastAsia" w:hAnsiTheme="minorEastAsia" w:eastAsiaTheme="minorEastAsia" w:cstheme="minorEastAsia"/>
          <w:spacing w:val="2"/>
          <w:sz w:val="24"/>
          <w:szCs w:val="24"/>
        </w:rPr>
        <w:t>为</w:t>
      </w:r>
      <w:r>
        <w:rPr>
          <w:rFonts w:hint="eastAsia" w:asciiTheme="minorEastAsia" w:hAnsiTheme="minorEastAsia" w:eastAsiaTheme="minorEastAsia" w:cstheme="minorEastAsia"/>
          <w:spacing w:val="2"/>
          <w:sz w:val="24"/>
          <w:szCs w:val="24"/>
          <w:u w:val="single"/>
        </w:rPr>
        <w:t>（企业名称</w:t>
      </w:r>
      <w:r>
        <w:rPr>
          <w:rFonts w:hint="eastAsia" w:asciiTheme="minorEastAsia" w:hAnsiTheme="minorEastAsia" w:eastAsiaTheme="minorEastAsia" w:cstheme="minorEastAsia"/>
          <w:spacing w:val="-29"/>
          <w:sz w:val="24"/>
          <w:szCs w:val="24"/>
          <w:u w:val="single"/>
        </w:rPr>
        <w:t>）</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
          <w:sz w:val="24"/>
          <w:szCs w:val="24"/>
        </w:rPr>
        <w:t>从业人员</w:t>
      </w:r>
      <w:r>
        <w:rPr>
          <w:rFonts w:hint="eastAsia" w:asciiTheme="minorEastAsia" w:hAnsiTheme="minorEastAsia" w:eastAsiaTheme="minorEastAsia" w:cstheme="minorEastAsia"/>
          <w:spacing w:val="60"/>
          <w:sz w:val="24"/>
          <w:szCs w:val="24"/>
          <w:u w:val="single"/>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2"/>
          <w:sz w:val="24"/>
          <w:szCs w:val="24"/>
        </w:rPr>
        <w:t>人，营业收入为</w:t>
      </w:r>
      <w:r>
        <w:rPr>
          <w:rFonts w:hint="eastAsia" w:asciiTheme="minorEastAsia" w:hAnsiTheme="minorEastAsia" w:eastAsiaTheme="minorEastAsia" w:cstheme="minorEastAsia"/>
          <w:spacing w:val="60"/>
          <w:sz w:val="24"/>
          <w:szCs w:val="24"/>
          <w:u w:val="single"/>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2"/>
          <w:sz w:val="24"/>
          <w:szCs w:val="24"/>
        </w:rPr>
        <w:t>万元（从业人员、营业收入、资</w:t>
      </w:r>
      <w:r>
        <w:rPr>
          <w:rFonts w:hint="eastAsia" w:asciiTheme="minorEastAsia" w:hAnsiTheme="minorEastAsia" w:eastAsiaTheme="minorEastAsia" w:cstheme="minorEastAsia"/>
          <w:spacing w:val="6"/>
          <w:sz w:val="24"/>
          <w:szCs w:val="24"/>
        </w:rPr>
        <w:t>产总额填报上一年度数据，无上一年度数据的新成立企业可不填报</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rPr>
        <w:t>资产总额为</w:t>
      </w:r>
      <w:r>
        <w:rPr>
          <w:rFonts w:hint="eastAsia" w:asciiTheme="minorEastAsia" w:hAnsiTheme="minorEastAsia" w:eastAsiaTheme="minorEastAsia" w:cstheme="minorEastAsia"/>
          <w:spacing w:val="60"/>
          <w:sz w:val="24"/>
          <w:szCs w:val="24"/>
          <w:u w:val="single"/>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6"/>
          <w:sz w:val="24"/>
          <w:szCs w:val="24"/>
        </w:rPr>
        <w:t>万</w:t>
      </w:r>
      <w:r>
        <w:rPr>
          <w:rFonts w:hint="eastAsia" w:asciiTheme="minorEastAsia" w:hAnsiTheme="minorEastAsia" w:eastAsiaTheme="minorEastAsia" w:cstheme="minorEastAsia"/>
          <w:spacing w:val="-6"/>
          <w:sz w:val="24"/>
          <w:szCs w:val="24"/>
        </w:rPr>
        <w:t>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30"/>
          <w:sz w:val="24"/>
          <w:szCs w:val="24"/>
          <w:u w:val="single"/>
        </w:rPr>
        <w:t>）</w:t>
      </w:r>
      <w:r>
        <w:rPr>
          <w:rFonts w:hint="eastAsia" w:asciiTheme="minorEastAsia" w:hAnsiTheme="minorEastAsia" w:eastAsiaTheme="minorEastAsia" w:cstheme="minorEastAsia"/>
          <w:spacing w:val="-30"/>
          <w:sz w:val="24"/>
          <w:szCs w:val="24"/>
        </w:rPr>
        <w:t>；</w:t>
      </w:r>
    </w:p>
    <w:p w14:paraId="1D80B0BC">
      <w:pPr>
        <w:spacing w:line="360" w:lineRule="auto"/>
        <w:ind w:firstLine="46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5"/>
          <w:sz w:val="24"/>
          <w:szCs w:val="24"/>
          <w:u w:val="single"/>
        </w:rPr>
        <w:t>（标的名称</w:t>
      </w:r>
      <w:r>
        <w:rPr>
          <w:rFonts w:hint="eastAsia" w:asciiTheme="minorEastAsia" w:hAnsiTheme="minorEastAsia" w:eastAsiaTheme="minorEastAsia" w:cstheme="minorEastAsia"/>
          <w:spacing w:val="-19"/>
          <w:sz w:val="24"/>
          <w:szCs w:val="24"/>
          <w:u w:val="single"/>
        </w:rPr>
        <w:t>）</w:t>
      </w:r>
      <w:r>
        <w:rPr>
          <w:rFonts w:hint="eastAsia" w:asciiTheme="minorEastAsia" w:hAnsiTheme="minorEastAsia" w:eastAsiaTheme="minorEastAsia" w:cstheme="minorEastAsia"/>
          <w:spacing w:val="-77"/>
          <w:sz w:val="24"/>
          <w:szCs w:val="24"/>
          <w:u w:val="single"/>
        </w:rPr>
        <w:t xml:space="preserve"> </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5"/>
          <w:sz w:val="24"/>
          <w:szCs w:val="24"/>
        </w:rPr>
        <w:t>属于</w:t>
      </w:r>
      <w:r>
        <w:rPr>
          <w:rFonts w:hint="eastAsia" w:asciiTheme="minorEastAsia" w:hAnsiTheme="minorEastAsia" w:eastAsiaTheme="minorEastAsia" w:cstheme="minorEastAsia"/>
          <w:spacing w:val="-5"/>
          <w:sz w:val="24"/>
          <w:szCs w:val="24"/>
          <w:u w:val="single"/>
        </w:rPr>
        <w:t>（采购文件中明确的所属行业</w:t>
      </w:r>
      <w:r>
        <w:rPr>
          <w:rFonts w:hint="eastAsia" w:asciiTheme="minorEastAsia" w:hAnsiTheme="minorEastAsia" w:eastAsiaTheme="minorEastAsia" w:cstheme="minorEastAsia"/>
          <w:spacing w:val="-19"/>
          <w:sz w:val="24"/>
          <w:szCs w:val="24"/>
          <w:u w:val="single"/>
        </w:rPr>
        <w:t>）</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5"/>
          <w:sz w:val="24"/>
          <w:szCs w:val="24"/>
        </w:rPr>
        <w:t>承建（承接）企业</w:t>
      </w:r>
      <w:r>
        <w:rPr>
          <w:rFonts w:hint="eastAsia" w:asciiTheme="minorEastAsia" w:hAnsiTheme="minorEastAsia" w:eastAsiaTheme="minorEastAsia" w:cstheme="minorEastAsia"/>
          <w:spacing w:val="-1"/>
          <w:sz w:val="24"/>
          <w:szCs w:val="24"/>
        </w:rPr>
        <w:t>为（企业名称</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
          <w:sz w:val="24"/>
          <w:szCs w:val="24"/>
        </w:rPr>
        <w:t>从业人员</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
          <w:sz w:val="24"/>
          <w:szCs w:val="24"/>
        </w:rPr>
        <w:t>人，营业收入为</w:t>
      </w:r>
      <w:r>
        <w:rPr>
          <w:rFonts w:hint="eastAsia" w:asciiTheme="minorEastAsia" w:hAnsiTheme="minorEastAsia" w:eastAsiaTheme="minorEastAsia" w:cstheme="minorEastAsia"/>
          <w:spacing w:val="-1"/>
          <w:sz w:val="24"/>
          <w:szCs w:val="24"/>
          <w:u w:val="single"/>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1"/>
          <w:sz w:val="24"/>
          <w:szCs w:val="24"/>
        </w:rPr>
        <w:t>万元，</w:t>
      </w:r>
      <w:r>
        <w:rPr>
          <w:rFonts w:hint="eastAsia" w:asciiTheme="minorEastAsia" w:hAnsiTheme="minorEastAsia" w:eastAsiaTheme="minorEastAsia" w:cstheme="minorEastAsia"/>
          <w:spacing w:val="-2"/>
          <w:sz w:val="24"/>
          <w:szCs w:val="24"/>
        </w:rPr>
        <w:t>资产总额为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2"/>
          <w:sz w:val="24"/>
          <w:szCs w:val="24"/>
        </w:rPr>
        <w:t>万元，</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36"/>
          <w:sz w:val="24"/>
          <w:szCs w:val="24"/>
          <w:u w:val="single"/>
        </w:rPr>
        <w:t>）</w:t>
      </w:r>
      <w:r>
        <w:rPr>
          <w:rFonts w:hint="eastAsia" w:asciiTheme="minorEastAsia" w:hAnsiTheme="minorEastAsia" w:eastAsiaTheme="minorEastAsia" w:cstheme="minorEastAsia"/>
          <w:spacing w:val="-36"/>
          <w:sz w:val="24"/>
          <w:szCs w:val="24"/>
        </w:rPr>
        <w:t>；</w:t>
      </w:r>
    </w:p>
    <w:p w14:paraId="5F4ACF9A">
      <w:pPr>
        <w:spacing w:line="360" w:lineRule="auto"/>
        <w:ind w:firstLine="42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p w14:paraId="2E62F376">
      <w:pPr>
        <w:spacing w:line="360" w:lineRule="auto"/>
        <w:ind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以上企业，不属于大企业的分支机构，不存在控股股东为大企业的情形，也不</w:t>
      </w:r>
      <w:r>
        <w:rPr>
          <w:rFonts w:hint="eastAsia" w:asciiTheme="minorEastAsia" w:hAnsiTheme="minorEastAsia" w:eastAsiaTheme="minorEastAsia" w:cstheme="minorEastAsia"/>
          <w:spacing w:val="-1"/>
          <w:sz w:val="24"/>
          <w:szCs w:val="24"/>
        </w:rPr>
        <w:t>存在与大企业的负责人为同一人的情形。</w:t>
      </w:r>
    </w:p>
    <w:p w14:paraId="19750DB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w:t>
      </w:r>
      <w:r>
        <w:rPr>
          <w:rFonts w:hint="eastAsia" w:asciiTheme="minorEastAsia" w:hAnsiTheme="minorEastAsia" w:eastAsiaTheme="minorEastAsia" w:cstheme="minorEastAsia"/>
          <w:spacing w:val="-1"/>
          <w:sz w:val="24"/>
          <w:szCs w:val="24"/>
        </w:rPr>
        <w:t>假，将依法承担相应责任。</w:t>
      </w:r>
    </w:p>
    <w:p w14:paraId="75319888">
      <w:pPr>
        <w:pStyle w:val="9"/>
        <w:spacing w:line="337" w:lineRule="auto"/>
      </w:pPr>
    </w:p>
    <w:p w14:paraId="6B27D599">
      <w:pPr>
        <w:pStyle w:val="9"/>
        <w:spacing w:line="338" w:lineRule="auto"/>
      </w:pPr>
    </w:p>
    <w:p w14:paraId="43F46333">
      <w:pPr>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55180D1A">
      <w:pPr>
        <w:spacing w:line="360" w:lineRule="auto"/>
        <w:ind w:firstLine="4500" w:firstLineChars="1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19F256F9">
      <w:pPr>
        <w:rPr>
          <w:rFonts w:asciiTheme="minorEastAsia" w:hAnsiTheme="minorEastAsia" w:eastAsiaTheme="minorEastAsia" w:cstheme="minorEastAsia"/>
          <w:b/>
          <w:bCs/>
          <w:spacing w:val="14"/>
          <w:sz w:val="24"/>
          <w:szCs w:val="24"/>
        </w:rPr>
      </w:pPr>
      <w:r>
        <w:rPr>
          <w:rFonts w:hint="eastAsia" w:asciiTheme="minorEastAsia" w:hAnsiTheme="minorEastAsia" w:eastAsiaTheme="minorEastAsia" w:cstheme="minorEastAsia"/>
          <w:b/>
          <w:bCs/>
          <w:spacing w:val="14"/>
          <w:sz w:val="24"/>
          <w:szCs w:val="24"/>
        </w:rPr>
        <w:br w:type="page"/>
      </w:r>
    </w:p>
    <w:p w14:paraId="3E599D11">
      <w:pPr>
        <w:pStyle w:val="9"/>
        <w:spacing w:before="81" w:line="212" w:lineRule="auto"/>
        <w:ind w:left="3139"/>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4"/>
          <w:sz w:val="24"/>
          <w:szCs w:val="24"/>
        </w:rPr>
        <w:t>统计上大中小微型企业划分标准</w:t>
      </w:r>
    </w:p>
    <w:tbl>
      <w:tblPr>
        <w:tblStyle w:val="64"/>
        <w:tblW w:w="10208" w:type="dxa"/>
        <w:tblInd w:w="-789"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2214"/>
        <w:gridCol w:w="1473"/>
        <w:gridCol w:w="757"/>
        <w:gridCol w:w="1213"/>
        <w:gridCol w:w="1825"/>
        <w:gridCol w:w="1700"/>
        <w:gridCol w:w="1026"/>
      </w:tblGrid>
      <w:tr w14:paraId="2635397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0" w:hRule="atLeast"/>
        </w:trPr>
        <w:tc>
          <w:tcPr>
            <w:tcW w:w="2214" w:type="dxa"/>
            <w:tcBorders>
              <w:bottom w:val="single" w:color="4F81BD" w:sz="2" w:space="0"/>
            </w:tcBorders>
            <w:shd w:val="clear" w:color="auto" w:fill="4F81BD"/>
          </w:tcPr>
          <w:p w14:paraId="57342A68">
            <w:pPr>
              <w:pStyle w:val="63"/>
              <w:spacing w:before="224" w:line="220" w:lineRule="auto"/>
              <w:ind w:left="319"/>
              <w:rPr>
                <w:rFonts w:ascii="楷体" w:hAnsi="楷体" w:eastAsia="楷体" w:cs="楷体"/>
                <w:sz w:val="18"/>
                <w:szCs w:val="18"/>
              </w:rPr>
            </w:pPr>
            <w:r>
              <w:rPr>
                <w:rFonts w:hint="eastAsia" w:ascii="楷体" w:hAnsi="楷体" w:eastAsia="楷体" w:cs="楷体"/>
                <w:spacing w:val="10"/>
                <w:sz w:val="18"/>
                <w:szCs w:val="18"/>
              </w:rPr>
              <w:t>行业名称</w:t>
            </w:r>
          </w:p>
        </w:tc>
        <w:tc>
          <w:tcPr>
            <w:tcW w:w="1473" w:type="dxa"/>
            <w:tcBorders>
              <w:bottom w:val="single" w:color="4F81BD" w:sz="2" w:space="0"/>
            </w:tcBorders>
            <w:shd w:val="clear" w:color="auto" w:fill="4F81BD"/>
          </w:tcPr>
          <w:p w14:paraId="33694B44">
            <w:pPr>
              <w:pStyle w:val="63"/>
              <w:spacing w:before="224" w:line="220" w:lineRule="auto"/>
              <w:ind w:left="343"/>
              <w:rPr>
                <w:rFonts w:ascii="楷体" w:hAnsi="楷体" w:eastAsia="楷体" w:cs="楷体"/>
                <w:sz w:val="18"/>
                <w:szCs w:val="18"/>
              </w:rPr>
            </w:pPr>
            <w:r>
              <w:rPr>
                <w:rFonts w:hint="eastAsia" w:ascii="楷体" w:hAnsi="楷体" w:eastAsia="楷体" w:cs="楷体"/>
                <w:spacing w:val="10"/>
                <w:sz w:val="18"/>
                <w:szCs w:val="18"/>
              </w:rPr>
              <w:t>指标名称</w:t>
            </w:r>
          </w:p>
        </w:tc>
        <w:tc>
          <w:tcPr>
            <w:tcW w:w="757" w:type="dxa"/>
            <w:tcBorders>
              <w:bottom w:val="single" w:color="4F81BD" w:sz="2" w:space="0"/>
            </w:tcBorders>
            <w:shd w:val="clear" w:color="auto" w:fill="4F81BD"/>
          </w:tcPr>
          <w:p w14:paraId="5CBB4EC3">
            <w:pPr>
              <w:pStyle w:val="63"/>
              <w:spacing w:before="68" w:line="312" w:lineRule="exact"/>
              <w:ind w:left="179"/>
              <w:rPr>
                <w:rFonts w:ascii="楷体" w:hAnsi="楷体" w:eastAsia="楷体" w:cs="楷体"/>
                <w:sz w:val="18"/>
                <w:szCs w:val="18"/>
              </w:rPr>
            </w:pPr>
            <w:r>
              <w:rPr>
                <w:rFonts w:hint="eastAsia" w:ascii="楷体" w:hAnsi="楷体" w:eastAsia="楷体" w:cs="楷体"/>
                <w:spacing w:val="4"/>
                <w:position w:val="10"/>
                <w:sz w:val="18"/>
                <w:szCs w:val="18"/>
              </w:rPr>
              <w:t>计量</w:t>
            </w:r>
          </w:p>
          <w:p w14:paraId="535F3B7B">
            <w:pPr>
              <w:pStyle w:val="63"/>
              <w:spacing w:line="220" w:lineRule="auto"/>
              <w:ind w:left="180"/>
              <w:rPr>
                <w:rFonts w:ascii="楷体" w:hAnsi="楷体" w:eastAsia="楷体" w:cs="楷体"/>
                <w:sz w:val="18"/>
                <w:szCs w:val="18"/>
              </w:rPr>
            </w:pPr>
            <w:r>
              <w:rPr>
                <w:rFonts w:hint="eastAsia" w:ascii="楷体" w:hAnsi="楷体" w:eastAsia="楷体" w:cs="楷体"/>
                <w:spacing w:val="4"/>
                <w:sz w:val="18"/>
                <w:szCs w:val="18"/>
              </w:rPr>
              <w:t>单位</w:t>
            </w:r>
          </w:p>
        </w:tc>
        <w:tc>
          <w:tcPr>
            <w:tcW w:w="1213" w:type="dxa"/>
            <w:tcBorders>
              <w:bottom w:val="single" w:color="4F81BD" w:sz="2" w:space="0"/>
            </w:tcBorders>
            <w:shd w:val="clear" w:color="auto" w:fill="4F81BD"/>
          </w:tcPr>
          <w:p w14:paraId="7BEFB046">
            <w:pPr>
              <w:pStyle w:val="63"/>
              <w:spacing w:before="224" w:line="220" w:lineRule="auto"/>
              <w:ind w:left="413"/>
              <w:rPr>
                <w:rFonts w:ascii="楷体" w:hAnsi="楷体" w:eastAsia="楷体" w:cs="楷体"/>
                <w:sz w:val="18"/>
                <w:szCs w:val="18"/>
              </w:rPr>
            </w:pPr>
            <w:r>
              <w:rPr>
                <w:rFonts w:hint="eastAsia" w:ascii="楷体" w:hAnsi="楷体" w:eastAsia="楷体" w:cs="楷体"/>
                <w:spacing w:val="3"/>
                <w:sz w:val="18"/>
                <w:szCs w:val="18"/>
              </w:rPr>
              <w:t>大型</w:t>
            </w:r>
          </w:p>
        </w:tc>
        <w:tc>
          <w:tcPr>
            <w:tcW w:w="1825" w:type="dxa"/>
            <w:tcBorders>
              <w:bottom w:val="single" w:color="4F81BD" w:sz="2" w:space="0"/>
            </w:tcBorders>
            <w:shd w:val="clear" w:color="auto" w:fill="4F81BD"/>
          </w:tcPr>
          <w:p w14:paraId="2A0AC4AC">
            <w:pPr>
              <w:pStyle w:val="63"/>
              <w:spacing w:before="224" w:line="220" w:lineRule="auto"/>
              <w:ind w:left="734"/>
              <w:rPr>
                <w:rFonts w:ascii="楷体" w:hAnsi="楷体" w:eastAsia="楷体" w:cs="楷体"/>
                <w:sz w:val="18"/>
                <w:szCs w:val="18"/>
              </w:rPr>
            </w:pPr>
            <w:r>
              <w:rPr>
                <w:rFonts w:hint="eastAsia" w:ascii="楷体" w:hAnsi="楷体" w:eastAsia="楷体" w:cs="楷体"/>
                <w:spacing w:val="-2"/>
                <w:sz w:val="18"/>
                <w:szCs w:val="18"/>
              </w:rPr>
              <w:t>中型</w:t>
            </w:r>
          </w:p>
        </w:tc>
        <w:tc>
          <w:tcPr>
            <w:tcW w:w="1700" w:type="dxa"/>
            <w:tcBorders>
              <w:bottom w:val="single" w:color="4F81BD" w:sz="2" w:space="0"/>
            </w:tcBorders>
            <w:shd w:val="clear" w:color="auto" w:fill="4F81BD"/>
          </w:tcPr>
          <w:p w14:paraId="272BC32D">
            <w:pPr>
              <w:pStyle w:val="63"/>
              <w:spacing w:before="223" w:line="222" w:lineRule="auto"/>
              <w:ind w:left="661"/>
              <w:rPr>
                <w:rFonts w:ascii="楷体" w:hAnsi="楷体" w:eastAsia="楷体" w:cs="楷体"/>
                <w:sz w:val="18"/>
                <w:szCs w:val="18"/>
              </w:rPr>
            </w:pPr>
            <w:r>
              <w:rPr>
                <w:rFonts w:hint="eastAsia" w:ascii="楷体" w:hAnsi="楷体" w:eastAsia="楷体" w:cs="楷体"/>
                <w:spacing w:val="2"/>
                <w:sz w:val="18"/>
                <w:szCs w:val="18"/>
              </w:rPr>
              <w:t>小型</w:t>
            </w:r>
          </w:p>
        </w:tc>
        <w:tc>
          <w:tcPr>
            <w:tcW w:w="1026" w:type="dxa"/>
            <w:tcBorders>
              <w:bottom w:val="single" w:color="4F81BD" w:sz="2" w:space="0"/>
            </w:tcBorders>
            <w:shd w:val="clear" w:color="auto" w:fill="4F81BD"/>
          </w:tcPr>
          <w:p w14:paraId="6171C364">
            <w:pPr>
              <w:pStyle w:val="63"/>
              <w:spacing w:before="223" w:line="220" w:lineRule="auto"/>
              <w:ind w:left="318"/>
              <w:rPr>
                <w:rFonts w:ascii="楷体" w:hAnsi="楷体" w:eastAsia="楷体" w:cs="楷体"/>
                <w:sz w:val="18"/>
                <w:szCs w:val="18"/>
              </w:rPr>
            </w:pPr>
            <w:r>
              <w:rPr>
                <w:rFonts w:hint="eastAsia" w:ascii="楷体" w:hAnsi="楷体" w:eastAsia="楷体" w:cs="楷体"/>
                <w:spacing w:val="4"/>
                <w:sz w:val="18"/>
                <w:szCs w:val="18"/>
              </w:rPr>
              <w:t>微型</w:t>
            </w:r>
          </w:p>
        </w:tc>
      </w:tr>
      <w:tr w14:paraId="613402C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77" w:hRule="atLeast"/>
        </w:trPr>
        <w:tc>
          <w:tcPr>
            <w:tcW w:w="2214" w:type="dxa"/>
            <w:tcBorders>
              <w:top w:val="single" w:color="4F81BD" w:sz="2" w:space="0"/>
            </w:tcBorders>
            <w:shd w:val="clear" w:color="auto" w:fill="B8CCE4"/>
            <w:vAlign w:val="center"/>
          </w:tcPr>
          <w:p w14:paraId="57E03163">
            <w:pPr>
              <w:pStyle w:val="63"/>
              <w:spacing w:line="274" w:lineRule="auto"/>
              <w:jc w:val="center"/>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72576" behindDoc="0" locked="0" layoutInCell="1" allowOverlap="1">
                      <wp:simplePos x="0" y="0"/>
                      <wp:positionH relativeFrom="page">
                        <wp:posOffset>6350</wp:posOffset>
                      </wp:positionH>
                      <wp:positionV relativeFrom="page">
                        <wp:posOffset>-13335</wp:posOffset>
                      </wp:positionV>
                      <wp:extent cx="889000" cy="27940"/>
                      <wp:effectExtent l="0" t="0" r="6350" b="635"/>
                      <wp:wrapNone/>
                      <wp:docPr id="17" name="矩形 17"/>
                      <wp:cNvGraphicFramePr/>
                      <a:graphic xmlns:a="http://schemas.openxmlformats.org/drawingml/2006/main">
                        <a:graphicData uri="http://schemas.microsoft.com/office/word/2010/wordprocessingShape">
                          <wps:wsp>
                            <wps:cNvSpPr/>
                            <wps:spPr>
                              <a:xfrm>
                                <a:off x="0" y="0"/>
                                <a:ext cx="88900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0.5pt;margin-top:-1.05pt;height:2.2pt;width:70pt;mso-position-horizontal-relative:page;mso-position-vertical-relative:page;z-index:251672576;mso-width-relative:page;mso-height-relative:page;" fillcolor="#FFFFFF" filled="t" stroked="f" coordsize="21600,21600" o:gfxdata="UEsDBAoAAAAAAIdO4kAAAAAAAAAAAAAAAAAEAAAAZHJzL1BLAwQUAAAACACHTuJA33zye9MAAAAG&#10;AQAADwAAAGRycy9kb3ducmV2LnhtbE2PwU7DMBBE70j8g7VI3Fo7aYkgxOkBqSfgQFuJ6zbeJhHx&#10;OsROm/59nRMcZ2c186bYTLYTZxp861hDslQgiCtnWq41HPbbxTMIH5ANdo5Jw5U8bMr7uwJz4y78&#10;ReddqEUMYZ+jhiaEPpfSVw1Z9EvXE0fv5AaLIcqhlmbASwy3nUyVyqTFlmNDgz29NVT97EarAbO1&#10;+f08rT7272OGL/Wktk/fSuvHh0S9ggg0hb9nmPEjOpSR6ehGNl50UcclQcMiTUDM9no+HDWkK5Bl&#10;If/jlzdQSwMEFAAAAAgAh07iQJZDRHKxAQAAXwMAAA4AAABkcnMvZTJvRG9jLnhtbK1TS27bMBDd&#10;F+gdCO5rykbROILlLGq4m6INkPQANEVJBPjDDG3ZpynQXQ6R4xS9RoaU67TpJotqIc2Pb+a9oVY3&#10;R2fZQQOa4Bs+n1Wcaa9Ca3zf8G/323dLzjBJ30obvG74SSO/Wb99sxpjrRdhCLbVwAjEYz3Ghg8p&#10;xVoIVIN2Emchak/JLoCTiVzoRQtyJHRnxaKqPogxQBshKI1I0c2U5GdEeA1g6Dqj9CaovdM+Taig&#10;rUxECQcTka/LtF2nVfradagTsw0npqm8qQnZu/wW65Wse5BxMOo8gnzNCC84OWk8Nb1AbWSSbA/m&#10;HyhnFAQMXZqp4MREpChCLObVC23uBhl14UJSY7yIjv8PVn053AIzLd2EK868dLTxX98ffj7+YBQg&#10;dcaINRXdxVs4e0hmpnrswOUvkWDHoujpoqg+JqYouFxeVxVprSi1uLp+XwQXz2cjYPqkg2PZaDjQ&#10;voqM8vAZE/Wj0t8luRUGa9qtsbY40O8+WmAHSbvdlicPTEf+KrM+F/uQj03pHBGZ18QkW7vQnkiH&#10;fQTTDzTIvCDlDOleMM93JC/2T78gPf8X6y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fPJ70wAA&#10;AAYBAAAPAAAAAAAAAAEAIAAAACIAAABkcnMvZG93bnJldi54bWxQSwECFAAUAAAACACHTuJAlkNE&#10;crEBAABfAwAADgAAAAAAAAABACAAAAAiAQAAZHJzL2Uyb0RvYy54bWxQSwUGAAAAAAYABgBZAQAA&#10;RQUAAAAA&#10;">
                      <v:fill on="t" focussize="0,0"/>
                      <v:stroke on="f"/>
                      <v:imagedata o:title=""/>
                      <o:lock v:ext="edit" aspectratio="f"/>
                    </v:rect>
                  </w:pict>
                </mc:Fallback>
              </mc:AlternateContent>
            </w:r>
            <w:r>
              <w:rPr>
                <w:rFonts w:hint="eastAsia" w:ascii="楷体" w:hAnsi="楷体" w:eastAsia="楷体" w:cs="楷体"/>
                <w:spacing w:val="7"/>
                <w:sz w:val="18"/>
                <w:szCs w:val="18"/>
              </w:rPr>
              <w:t>农、林、牧、</w:t>
            </w:r>
            <w:r>
              <w:rPr>
                <w:rFonts w:hint="eastAsia" w:ascii="楷体" w:hAnsi="楷体" w:eastAsia="楷体" w:cs="楷体"/>
                <w:spacing w:val="3"/>
                <w:sz w:val="18"/>
                <w:szCs w:val="18"/>
              </w:rPr>
              <w:t>渔业</w:t>
            </w:r>
          </w:p>
        </w:tc>
        <w:tc>
          <w:tcPr>
            <w:tcW w:w="1473" w:type="dxa"/>
            <w:tcBorders>
              <w:top w:val="single" w:color="4F81BD" w:sz="2" w:space="0"/>
            </w:tcBorders>
            <w:shd w:val="clear" w:color="auto" w:fill="B8CCE4"/>
          </w:tcPr>
          <w:p w14:paraId="3946DCD9">
            <w:pPr>
              <w:pStyle w:val="63"/>
              <w:spacing w:before="238" w:line="220" w:lineRule="auto"/>
              <w:ind w:left="200"/>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73600" behindDoc="0" locked="0" layoutInCell="1" allowOverlap="1">
                      <wp:simplePos x="0" y="0"/>
                      <wp:positionH relativeFrom="page">
                        <wp:posOffset>20955</wp:posOffset>
                      </wp:positionH>
                      <wp:positionV relativeFrom="page">
                        <wp:posOffset>-13335</wp:posOffset>
                      </wp:positionV>
                      <wp:extent cx="908685" cy="27940"/>
                      <wp:effectExtent l="0" t="0" r="5715" b="635"/>
                      <wp:wrapNone/>
                      <wp:docPr id="18" name="矩形 18"/>
                      <wp:cNvGraphicFramePr/>
                      <a:graphic xmlns:a="http://schemas.openxmlformats.org/drawingml/2006/main">
                        <a:graphicData uri="http://schemas.microsoft.com/office/word/2010/wordprocessingShape">
                          <wps:wsp>
                            <wps:cNvSpPr/>
                            <wps:spPr>
                              <a:xfrm>
                                <a:off x="0" y="0"/>
                                <a:ext cx="908685"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65pt;margin-top:-1.05pt;height:2.2pt;width:71.55pt;mso-position-horizontal-relative:page;mso-position-vertical-relative:page;z-index:251673600;mso-width-relative:page;mso-height-relative:page;" fillcolor="#FFFFFF" filled="t" stroked="f" coordsize="21600,21600" o:gfxdata="UEsDBAoAAAAAAIdO4kAAAAAAAAAAAAAAAAAEAAAAZHJzL1BLAwQUAAAACACHTuJATsfXHtQAAAAG&#10;AQAADwAAAGRycy9kb3ducmV2LnhtbE2OTU/DMBBE70j8B2uRuLV2PoggZNMDUk/AgbYS123sJhHx&#10;OsROG/497gmOoxm9edVmsYM4m8n3jhGStQJhuHG65xbhsN+uHkH4QKxpcGwQfoyHTX17U1Gp3YU/&#10;zHkXWhEh7EtC6EIYSyl90xlLfu1Gw7E7uclSiHFqpZ7oEuF2kKlShbTUc3zoaDQvnWm+drNFoCLX&#10;3++n7G3/Ohf01C5q+/CpEO/vEvUMIpgl/I3hqh/VoY5ORzez9mJAyLI4RFilCYhrnRc5iCNCmoGs&#10;K/lfv/4FUEsDBBQAAAAIAIdO4kAs4NDTsgEAAF8DAAAOAAAAZHJzL2Uyb0RvYy54bWytU0tu2zAQ&#10;3RfoHQjua8lGmzqC5SxiuJuiDZDmADRFSgT4wwxt2acp0F0P0eMUvUaHlOu06SaLaCHNj2/mvaFW&#10;N0dn2UEBmuBbPp/VnCkvQ2d83/KHL9s3S84wCd8JG7xq+Ukhv1m/frUaY6MWYQi2U8AIxGMzxpYP&#10;KcWmqlAOygmchag8JXUAJxK50FcdiJHQna0WdX1VjQG6CEEqRIpupiQ/I8JzAIPWRqpNkHunfJpQ&#10;QVmRiBIOJiJfl2m1VjJ91hpVYrblxDSVNzUhe5ff1Xolmh5EHIw8jyCeM8ITTk4YT00vUBuRBNuD&#10;+Q/KGQkBg04zGVw1ESmKEIt5/USb+0FEVbiQ1BgvouPLwcpPhztgpqObQHv3wtHGf339/vPHN0YB&#10;UmeM2FDRfbyDs4dkZqpHDS5/iQQ7FkVPF0XVMTFJwet6ebV8x5mk1OL99dsiePV4NgKmDyo4lo2W&#10;A+2ryCgOHzFRPyr9U5JbYbCm2xpriwP97tYCOwja7bY8eWA68k+Z9bnYh3xsSudIlXlNTLK1C92J&#10;dNhHMP1Ag8wLUs6Q7gXzfEfyYv/2C9Ljf7H+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7H1x7U&#10;AAAABgEAAA8AAAAAAAAAAQAgAAAAIgAAAGRycy9kb3ducmV2LnhtbFBLAQIUABQAAAAIAIdO4kAs&#10;4NDTsgEAAF8DAAAOAAAAAAAAAAEAIAAAACMBAABkcnMvZTJvRG9jLnhtbFBLBQYAAAAABgAGAFkB&#10;AABHBQAAAAA=&#10;">
                      <v:fill on="t" focussize="0,0"/>
                      <v:stroke on="f"/>
                      <v:imagedata o:title=""/>
                      <o:lock v:ext="edit" aspectratio="f"/>
                    </v:rect>
                  </w:pict>
                </mc:Fallback>
              </mc:AlternateContent>
            </w:r>
            <w:r>
              <w:rPr>
                <w:rFonts w:hint="eastAsia" w:ascii="楷体" w:hAnsi="楷体" w:eastAsia="楷体" w:cs="楷体"/>
                <w:spacing w:val="9"/>
                <w:sz w:val="18"/>
                <w:szCs w:val="18"/>
              </w:rPr>
              <w:t>营业收入(Y)</w:t>
            </w:r>
          </w:p>
        </w:tc>
        <w:tc>
          <w:tcPr>
            <w:tcW w:w="757" w:type="dxa"/>
            <w:tcBorders>
              <w:top w:val="single" w:color="4F81BD" w:sz="2" w:space="0"/>
            </w:tcBorders>
            <w:shd w:val="clear" w:color="auto" w:fill="B8CCE4"/>
          </w:tcPr>
          <w:p w14:paraId="46D13856">
            <w:pPr>
              <w:pStyle w:val="63"/>
              <w:spacing w:before="239" w:line="220" w:lineRule="auto"/>
              <w:ind w:left="186"/>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69504" behindDoc="0" locked="0" layoutInCell="1" allowOverlap="1">
                      <wp:simplePos x="0" y="0"/>
                      <wp:positionH relativeFrom="page">
                        <wp:posOffset>21590</wp:posOffset>
                      </wp:positionH>
                      <wp:positionV relativeFrom="page">
                        <wp:posOffset>-13335</wp:posOffset>
                      </wp:positionV>
                      <wp:extent cx="454660" cy="27940"/>
                      <wp:effectExtent l="0" t="0" r="2540" b="635"/>
                      <wp:wrapNone/>
                      <wp:docPr id="19" name="矩形 19"/>
                      <wp:cNvGraphicFramePr/>
                      <a:graphic xmlns:a="http://schemas.openxmlformats.org/drawingml/2006/main">
                        <a:graphicData uri="http://schemas.microsoft.com/office/word/2010/wordprocessingShape">
                          <wps:wsp>
                            <wps:cNvSpPr/>
                            <wps:spPr>
                              <a:xfrm>
                                <a:off x="0" y="0"/>
                                <a:ext cx="45466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pt;margin-top:-1.05pt;height:2.2pt;width:35.8pt;mso-position-horizontal-relative:page;mso-position-vertical-relative:page;z-index:251669504;mso-width-relative:page;mso-height-relative:page;" fillcolor="#FFFFFF" filled="t" stroked="f" coordsize="21600,21600" o:gfxdata="UEsDBAoAAAAAAIdO4kAAAAAAAAAAAAAAAAAEAAAAZHJzL1BLAwQUAAAACACHTuJA9t773NQAAAAF&#10;AQAADwAAAGRycy9kb3ducmV2LnhtbE2PMU/DMBSEdyT+g/WQ2Fo7SRvaEKcDUidgoEVifY1fk4j4&#10;OcROG/49ZoLxdKe778rdbHtxodF3jjUkSwWCuHam40bD+3G/2IDwAdlg75g0fJOHXXV7U2Jh3JXf&#10;6HIIjYgl7AvU0IYwFFL6uiWLfukG4uid3WgxRDk20ox4jeW2l6lSubTYcVxocaCnlurPw2Q1YL4y&#10;X6/n7OX4POW4bWa1X38ore/vEvUIItAc/sLwix/RoYpMJzex8aLXkK1iUMMiTUBE+2Edn500pBnI&#10;qpT/6asfUEsDBBQAAAAIAIdO4kDHazy4sgEAAF8DAAAOAAAAZHJzL2Uyb0RvYy54bWytU0tu2zAQ&#10;3RfoHQjua9mG6zaC5SxquJsiDZDmADRFSgT4wwxt2acpkF0P0eMUvUaHlOOk6SaLaiHNj2/mvaFW&#10;10dn2UEBmuAbPptMOVNehtb4ruH337bvPnKGSfhW2OBVw08K+fX67ZvVEGs1D32wrQJGIB7rITa8&#10;TynWVYWyV07gJETlKakDOJHIha5qQQyE7mw1n06X1RCgjRCkQqToZkzyMyK8BjBobaTaBLl3yqcR&#10;FZQViShhbyLydZlWayXTV61RJWYbTkxTeVMTsnf5Xa1Xou5AxN7I8wjiNSO84OSE8dT0ArURSbA9&#10;mH+gnJEQMOg0kcFVI5GiCLGYTV9oc9eLqAoXkhrjRXT8f7Dy5nALzLR0E64488LRxn9///Hr5wOj&#10;AKkzRKyp6C7ewtlDMjPVowaXv0SCHYuip4ui6piYpODi/WK5JK0lpeYfrhZF8OrpbARMn1VwLBsN&#10;B9pXkVEcvmCiflT6WJJbYbCm3RpriwPd7pMFdhC022158sB05K8y63OxD/nYmM6RKvMamWRrF9oT&#10;6bCPYLqeBpkVpJwh3Qvm+Y7kxT73C9LTf7H+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be+9zU&#10;AAAABQEAAA8AAAAAAAAAAQAgAAAAIgAAAGRycy9kb3ducmV2LnhtbFBLAQIUABQAAAAIAIdO4kDH&#10;azy4sgEAAF8DAAAOAAAAAAAAAAEAIAAAACMBAABkcnMvZTJvRG9jLnhtbFBLBQYAAAAABgAGAFkB&#10;AABHBQAAAAA=&#10;">
                      <v:fill on="t" focussize="0,0"/>
                      <v:stroke on="f"/>
                      <v:imagedata o:title=""/>
                      <o:lock v:ext="edit" aspectratio="f"/>
                    </v:rect>
                  </w:pict>
                </mc:Fallback>
              </mc:AlternateContent>
            </w:r>
            <w:r>
              <w:rPr>
                <w:rFonts w:hint="eastAsia" w:ascii="楷体" w:hAnsi="楷体" w:eastAsia="楷体" w:cs="楷体"/>
                <w:spacing w:val="1"/>
                <w:sz w:val="18"/>
                <w:szCs w:val="18"/>
              </w:rPr>
              <w:t>万元</w:t>
            </w:r>
          </w:p>
        </w:tc>
        <w:tc>
          <w:tcPr>
            <w:tcW w:w="1213" w:type="dxa"/>
            <w:tcBorders>
              <w:top w:val="single" w:color="4F81BD" w:sz="2" w:space="0"/>
            </w:tcBorders>
            <w:shd w:val="clear" w:color="auto" w:fill="B8CCE4"/>
          </w:tcPr>
          <w:p w14:paraId="0976BBF0">
            <w:pPr>
              <w:pStyle w:val="63"/>
              <w:spacing w:before="238" w:line="238" w:lineRule="auto"/>
              <w:ind w:left="211"/>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70528" behindDoc="0" locked="0" layoutInCell="1" allowOverlap="1">
                      <wp:simplePos x="0" y="0"/>
                      <wp:positionH relativeFrom="page">
                        <wp:posOffset>22225</wp:posOffset>
                      </wp:positionH>
                      <wp:positionV relativeFrom="page">
                        <wp:posOffset>-13335</wp:posOffset>
                      </wp:positionV>
                      <wp:extent cx="744220" cy="27940"/>
                      <wp:effectExtent l="0" t="0" r="17780" b="635"/>
                      <wp:wrapNone/>
                      <wp:docPr id="20" name="矩形 20"/>
                      <wp:cNvGraphicFramePr/>
                      <a:graphic xmlns:a="http://schemas.openxmlformats.org/drawingml/2006/main">
                        <a:graphicData uri="http://schemas.microsoft.com/office/word/2010/wordprocessingShape">
                          <wps:wsp>
                            <wps:cNvSpPr/>
                            <wps:spPr>
                              <a:xfrm>
                                <a:off x="0" y="0"/>
                                <a:ext cx="74422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5pt;margin-top:-1.05pt;height:2.2pt;width:58.6pt;mso-position-horizontal-relative:page;mso-position-vertical-relative:page;z-index:251670528;mso-width-relative:page;mso-height-relative:page;" fillcolor="#FFFFFF" filled="t" stroked="f" coordsize="21600,21600" o:gfxdata="UEsDBAoAAAAAAIdO4kAAAAAAAAAAAAAAAAAEAAAAZHJzL1BLAwQUAAAACACHTuJAZEl8HNQAAAAG&#10;AQAADwAAAGRycy9kb3ducmV2LnhtbE2OwU7DMBBE70j8g7VI3Fo7CQ1tiNMDUk/AgRaJ6zbeJhHx&#10;OsROG/4e9wTH0YzevHI7216cafSdYw3JUoEgrp3puNHwcdgt1iB8QDbYOyYNP+RhW93elFgYd+F3&#10;Ou9DIyKEfYEa2hCGQkpft2TRL91AHLuTGy2GGMdGmhEvEW57mSqVS4sdx4cWB3puqf7aT1YD5g/m&#10;++2UvR5ephw3zax2q0+l9f1dop5ABJrD3xiu+lEdquh0dBMbL3oN2SoONSzSBMS1TtUjiKOGNANZ&#10;lfK/fvULUEsDBBQAAAAIAIdO4kCdkwC8rwEAAF8DAAAOAAAAZHJzL2Uyb0RvYy54bWytU0tu2zAQ&#10;3RfIHQjua9mC0bSC5SxqOJuiDZD2ADRFSgT4wwxt2acp0F0P0eMUvUaHlON8usmiWlDz45t5b6TV&#10;zdFZdlCAJviWL2ZzzpSXoTO+b/m3r9u37znDJHwnbPCq5SeF/GZ99WY1xkbVYQi2U8AIxGMzxpYP&#10;KcWmqlAOygmchag8JXUAJxK50FcdiJHQna3q+fxdNQboIgSpECm6mZL8jAivAQxaG6k2Qe6d8mlC&#10;BWVFIko4mIh8XabVWsn0RWtUidmWE9NUTmpC9i6f1Xolmh5EHIw8jyBeM8ILTk4YT00vUBuRBNuD&#10;+QfKGQkBg04zGVw1ESmKEIvF/IU294OIqnAhqTFeRMf/Bys/H+6Ama7lNUnihaON//n+8/evH4wC&#10;pM4YsaGi+3gHZw/JzFSPGlx+Ewl2LIqeLoqqY2KSgtfLZZ2BJaXq6w/LAlk93o2A6VYFx7LRcqB9&#10;FRnF4RMm6kelDyW5FQZruq2xtjjQ7z5aYAdBu92WJw9MV56VWZ+LfcjXpnSOVJnXxCRbu9CdSId9&#10;BNMPNMiiIOUM6V4wz99IXuxTvyA9/hf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JfBzUAAAA&#10;BgEAAA8AAAAAAAAAAQAgAAAAIgAAAGRycy9kb3ducmV2LnhtbFBLAQIUABQAAAAIAIdO4kCdkwC8&#10;rwEAAF8DAAAOAAAAAAAAAAEAIAAAACMBAABkcnMvZTJvRG9jLnhtbFBLBQYAAAAABgAGAFkBAABE&#10;BQAAAAA=&#10;">
                      <v:fill on="t" focussize="0,0"/>
                      <v:stroke on="f"/>
                      <v:imagedata o:title=""/>
                      <o:lock v:ext="edit" aspectratio="f"/>
                    </v:rect>
                  </w:pict>
                </mc:Fallback>
              </mc:AlternateContent>
            </w:r>
            <w:r>
              <w:rPr>
                <w:rFonts w:hint="eastAsia" w:ascii="楷体" w:hAnsi="楷体" w:eastAsia="楷体" w:cs="楷体"/>
                <w:spacing w:val="7"/>
                <w:sz w:val="18"/>
                <w:szCs w:val="18"/>
              </w:rPr>
              <w:t>Y≥20000</w:t>
            </w:r>
          </w:p>
        </w:tc>
        <w:tc>
          <w:tcPr>
            <w:tcW w:w="1825" w:type="dxa"/>
            <w:tcBorders>
              <w:top w:val="single" w:color="4F81BD" w:sz="2" w:space="0"/>
            </w:tcBorders>
            <w:shd w:val="clear" w:color="auto" w:fill="B8CCE4"/>
          </w:tcPr>
          <w:p w14:paraId="783AAAD4">
            <w:pPr>
              <w:pStyle w:val="63"/>
              <w:spacing w:before="238" w:line="236" w:lineRule="auto"/>
              <w:ind w:left="279"/>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71552" behindDoc="0" locked="0" layoutInCell="1" allowOverlap="1">
                      <wp:simplePos x="0" y="0"/>
                      <wp:positionH relativeFrom="page">
                        <wp:posOffset>23495</wp:posOffset>
                      </wp:positionH>
                      <wp:positionV relativeFrom="page">
                        <wp:posOffset>-13335</wp:posOffset>
                      </wp:positionV>
                      <wp:extent cx="1132840" cy="27940"/>
                      <wp:effectExtent l="0" t="0" r="10160" b="635"/>
                      <wp:wrapNone/>
                      <wp:docPr id="21" name="矩形 21"/>
                      <wp:cNvGraphicFramePr/>
                      <a:graphic xmlns:a="http://schemas.openxmlformats.org/drawingml/2006/main">
                        <a:graphicData uri="http://schemas.microsoft.com/office/word/2010/wordprocessingShape">
                          <wps:wsp>
                            <wps:cNvSpPr/>
                            <wps:spPr>
                              <a:xfrm>
                                <a:off x="0" y="0"/>
                                <a:ext cx="1132840"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85pt;margin-top:-1.05pt;height:2.2pt;width:89.2pt;mso-position-horizontal-relative:page;mso-position-vertical-relative:page;z-index:251671552;mso-width-relative:page;mso-height-relative:page;" fillcolor="#FFFFFF" filled="t" stroked="f" coordsize="21600,21600" o:gfxdata="UEsDBAoAAAAAAIdO4kAAAAAAAAAAAAAAAAAEAAAAZHJzL1BLAwQUAAAACACHTuJAc11ZftMAAAAG&#10;AQAADwAAAGRycy9kb3ducmV2LnhtbE2OMU/DMBSEdyT+g/WQ2Fo7CYQS4nRA6gQMtEisr/FrEhE/&#10;h9hpw7/HmWC7053uvnI7216cafSdYw3JWoEgrp3puNHwcditNiB8QDbYOyYNP+RhW11flVgYd+F3&#10;Ou9DI+II+wI1tCEMhZS+bsmiX7uBOGYnN1oM0Y6NNCNe4rjtZapULi12HB9aHOi5pfprP1kNmN+Z&#10;77dT9np4mXJ8bGa1u/9UWt/eJOoJRKA5/JVhwY/oUEWmo5vYeNFryB5iUcMqTUAs8WYRRw1pBrIq&#10;5X/86hdQSwMEFAAAAAgAh07iQH9iUuCvAQAAYAMAAA4AAABkcnMvZTJvRG9jLnhtbK1TS27bMBDd&#10;F8gdCO5jWWrQpoLlLGo4m6INkOYANEVJBPjDDG3ZpynQXQ/R4xS9RoeU6rTJJotoQc2Pb+a9kVY3&#10;R2vYQQFq7xpeLpacKSd9q13f8Iev28trzjAK1wrjnWr4SSG/WV+8WY2hVpUfvGkVMAJxWI+h4UOM&#10;oS4KlIOyAhc+KEfJzoMVkVzoixbESOjWFNVy+a4YPbQBvFSIFN1MST4jwksAfddpqTZe7q1ycUIF&#10;ZUQkSjjogHydp+06JeOXrkMVmWk4MY35pCZk79JZrFei7kGEQct5BPGSEZ5wskI7anqG2ogo2B70&#10;MyirJXj0XVxIb4uJSFaEWJTLJ9rcDyKozIWkxnAWHV8PVn4+3AHTbcOrkjMnLG3897cfv35+ZxQg&#10;dcaANRXdhzuYPSQzUT12YNObSLBjVvR0VlQdI5MULMu31fUViS0pV73/QCahFI+XA2C8Vd6yZDQc&#10;aGFZR3H4hHEq/VuSeqE3ut1qY7ID/e6jAXYQtNxtfmb0/8qMS8XOp2sTYooUidhEJVk7355IiH0A&#10;3Q80SOaea0j4PPH8kaTN/utnpMcfY/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11ZftMAAAAG&#10;AQAADwAAAAAAAAABACAAAAAiAAAAZHJzL2Rvd25yZXYueG1sUEsBAhQAFAAAAAgAh07iQH9iUuCv&#10;AQAAYAMAAA4AAAAAAAAAAQAgAAAAIgEAAGRycy9lMm9Eb2MueG1sUEsFBgAAAAAGAAYAWQEAAEMF&#10;AAAAAA==&#10;">
                      <v:fill on="t" focussize="0,0"/>
                      <v:stroke on="f"/>
                      <v:imagedata o:title=""/>
                      <o:lock v:ext="edit" aspectratio="f"/>
                    </v:rect>
                  </w:pict>
                </mc:Fallback>
              </mc:AlternateContent>
            </w:r>
            <w:r>
              <w:rPr>
                <w:rFonts w:hint="eastAsia" w:ascii="楷体" w:hAnsi="楷体" w:eastAsia="楷体" w:cs="楷体"/>
                <w:spacing w:val="7"/>
                <w:sz w:val="18"/>
                <w:szCs w:val="18"/>
              </w:rPr>
              <w:t>500≤Y＜20000</w:t>
            </w:r>
          </w:p>
        </w:tc>
        <w:tc>
          <w:tcPr>
            <w:tcW w:w="1700" w:type="dxa"/>
            <w:tcBorders>
              <w:top w:val="single" w:color="4F81BD" w:sz="2" w:space="0"/>
            </w:tcBorders>
            <w:shd w:val="clear" w:color="auto" w:fill="B8CCE4"/>
          </w:tcPr>
          <w:p w14:paraId="1DFDF344">
            <w:pPr>
              <w:pStyle w:val="63"/>
              <w:spacing w:before="238" w:line="236" w:lineRule="auto"/>
              <w:ind w:left="367"/>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68480" behindDoc="0" locked="0" layoutInCell="1" allowOverlap="1">
                      <wp:simplePos x="0" y="0"/>
                      <wp:positionH relativeFrom="page">
                        <wp:posOffset>24130</wp:posOffset>
                      </wp:positionH>
                      <wp:positionV relativeFrom="page">
                        <wp:posOffset>-13335</wp:posOffset>
                      </wp:positionV>
                      <wp:extent cx="1053465" cy="27940"/>
                      <wp:effectExtent l="0" t="0" r="13335" b="635"/>
                      <wp:wrapNone/>
                      <wp:docPr id="22" name="矩形 22"/>
                      <wp:cNvGraphicFramePr/>
                      <a:graphic xmlns:a="http://schemas.openxmlformats.org/drawingml/2006/main">
                        <a:graphicData uri="http://schemas.microsoft.com/office/word/2010/wordprocessingShape">
                          <wps:wsp>
                            <wps:cNvSpPr/>
                            <wps:spPr>
                              <a:xfrm>
                                <a:off x="0" y="0"/>
                                <a:ext cx="1053465"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pt;margin-top:-1.05pt;height:2.2pt;width:82.95pt;mso-position-horizontal-relative:page;mso-position-vertical-relative:page;z-index:251668480;mso-width-relative:page;mso-height-relative:page;" fillcolor="#FFFFFF" filled="t" stroked="f" coordsize="21600,21600" o:gfxdata="UEsDBAoAAAAAAIdO4kAAAAAAAAAAAAAAAAAEAAAAZHJzL1BLAwQUAAAACACHTuJAluaEY9QAAAAG&#10;AQAADwAAAGRycy9kb3ducmV2LnhtbE3OMU/DMBAF4B2J/2AdEltrJ4HQprl0QOoEDLRIrNf4mkTE&#10;doidNvx73AnG0zu995Xb2fTizKPvnEVIlgoE29rpzjYIH4fdYgXCB7KaemcZ4Yc9bKvbm5IK7S72&#10;nc/70IhYYn1BCG0IQyGlr1s25JduYBuzkxsNhXiOjdQjXWK56WWqVC4NdTYutDTwc8v1134yCJQ/&#10;6O+3U/Z6eJlyWjez2j1+KsT7u0RtQASew98zXPmRDlU0Hd1ktRc9QhbhAWGRJiCucb5+AnFESDOQ&#10;VSn/86tfUEsDBBQAAAAIAIdO4kCGXkcfswEAAGADAAAOAAAAZHJzL2Uyb0RvYy54bWytU82O0zAQ&#10;viPxDpbvNGnYXSBqugeqckGw0sIDuI6dWPKfZtymfRokbjwEj4N4DcZO6cJy2QM5OPPnb+b7Jlnd&#10;Hp1lBwVogu/4clFzprwMvfFDxz9/2r54zRkm4Xthg1cdPynkt+vnz1ZTbFUTxmB7BYxAPLZT7PiY&#10;UmyrCuWonMBFiMpTUgdwIpELQ9WDmAjd2aqp65tqCtBHCFIhUnQzJ/kZEZ4CGLQ2Um2C3Dvl04wK&#10;yopElHA0Efm6TKu1kumj1qgSsx0npqmc1ITsXT6r9Uq0A4g4GnkeQTxlhEecnDCeml6gNiIJtgfz&#10;D5QzEgIGnRYyuGomUhQhFsv6kTb3o4iqcCGpMV5Ex/8HKz8c7oCZvuNNw5kXjjb+88u3H9+/MgqQ&#10;OlPEloru4x2cPSQzUz1qcPlNJNixKHq6KKqOiUkKLuvrl1c315xJyjWv3lwVxauHyxEwvVPBsWx0&#10;HGhhRUdxeI+JGlLp75LcC4M1/dZYWxwYdm8tsIOg5W7LkyemK3+VWZ+LfcjX5nSOVJnYTCVbu9Cf&#10;SIh9BDOMNMiyIOUMCV8wzx9J3uyffkF6+DH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5oRj&#10;1AAAAAYBAAAPAAAAAAAAAAEAIAAAACIAAABkcnMvZG93bnJldi54bWxQSwECFAAUAAAACACHTuJA&#10;hl5HH7MBAABgAwAADgAAAAAAAAABACAAAAAjAQAAZHJzL2Uyb0RvYy54bWxQSwUGAAAAAAYABgBZ&#10;AQAASAUAAAAA&#10;">
                      <v:fill on="t" focussize="0,0"/>
                      <v:stroke on="f"/>
                      <v:imagedata o:title=""/>
                      <o:lock v:ext="edit" aspectratio="f"/>
                    </v:rect>
                  </w:pict>
                </mc:Fallback>
              </mc:AlternateContent>
            </w:r>
            <w:r>
              <w:rPr>
                <w:rFonts w:hint="eastAsia" w:ascii="楷体" w:hAnsi="楷体" w:eastAsia="楷体" w:cs="楷体"/>
                <w:spacing w:val="7"/>
                <w:sz w:val="18"/>
                <w:szCs w:val="18"/>
              </w:rPr>
              <w:t>50≤Y＜500</w:t>
            </w:r>
          </w:p>
        </w:tc>
        <w:tc>
          <w:tcPr>
            <w:tcW w:w="1026" w:type="dxa"/>
            <w:tcBorders>
              <w:top w:val="single" w:color="4F81BD" w:sz="2" w:space="0"/>
            </w:tcBorders>
            <w:shd w:val="clear" w:color="auto" w:fill="B8CCE4"/>
          </w:tcPr>
          <w:p w14:paraId="28B1D47F">
            <w:pPr>
              <w:pStyle w:val="63"/>
              <w:spacing w:before="238"/>
              <w:ind w:left="267"/>
              <w:rPr>
                <w:rFonts w:ascii="楷体" w:hAnsi="楷体" w:eastAsia="楷体" w:cs="楷体"/>
                <w:sz w:val="18"/>
                <w:szCs w:val="18"/>
              </w:rPr>
            </w:pPr>
            <w:r>
              <w:rPr>
                <w:rFonts w:hint="eastAsia" w:ascii="楷体" w:hAnsi="楷体" w:eastAsia="楷体" w:cs="楷体"/>
              </w:rPr>
              <mc:AlternateContent>
                <mc:Choice Requires="wps">
                  <w:drawing>
                    <wp:anchor distT="0" distB="0" distL="114300" distR="114300" simplePos="0" relativeHeight="251667456" behindDoc="0" locked="0" layoutInCell="1" allowOverlap="1">
                      <wp:simplePos x="0" y="0"/>
                      <wp:positionH relativeFrom="page">
                        <wp:posOffset>26035</wp:posOffset>
                      </wp:positionH>
                      <wp:positionV relativeFrom="page">
                        <wp:posOffset>-13335</wp:posOffset>
                      </wp:positionV>
                      <wp:extent cx="620395" cy="27940"/>
                      <wp:effectExtent l="0" t="0" r="8255" b="635"/>
                      <wp:wrapNone/>
                      <wp:docPr id="23" name="矩形 23"/>
                      <wp:cNvGraphicFramePr/>
                      <a:graphic xmlns:a="http://schemas.openxmlformats.org/drawingml/2006/main">
                        <a:graphicData uri="http://schemas.microsoft.com/office/word/2010/wordprocessingShape">
                          <wps:wsp>
                            <wps:cNvSpPr/>
                            <wps:spPr>
                              <a:xfrm>
                                <a:off x="0" y="0"/>
                                <a:ext cx="620395" cy="2794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5pt;margin-top:-1.05pt;height:2.2pt;width:48.85pt;mso-position-horizontal-relative:page;mso-position-vertical-relative:page;z-index:251667456;mso-width-relative:page;mso-height-relative:page;" fillcolor="#FFFFFF" filled="t" stroked="f" coordsize="21600,21600" o:gfxdata="UEsDBAoAAAAAAIdO4kAAAAAAAAAAAAAAAAAEAAAAZHJzL1BLAwQUAAAACACHTuJABoqX7dUAAAAG&#10;AQAADwAAAGRycy9kb3ducmV2LnhtbE2PwW7CMBBE75X6D9ZW4gZ2Ao1oGodDJU6lhwIS1yVekqix&#10;ncYOpH/f5dSeRqsZzbwtNpPtxJWG0HqnIVkoEOQqb1pXazgetvM1iBDRGey8Iw0/FGBTPj4UmBt/&#10;c5903cdacIkLOWpoYuxzKUPVkMWw8D059i5+sBj5HGppBrxxue1kqlQmLbaOFxrs6a2h6ms/Wg2Y&#10;rcz3x2W5O7yPGb7Uk9o+n5TWs6dEvYKINMW/MNzxGR1KZjr70ZkgOg2rhIMa5inr3VYJf3LWkC5B&#10;loX8j1/+AlBLAwQUAAAACACHTuJANRjUTrIBAABfAwAADgAAAGRycy9lMm9Eb2MueG1srVPNjtMw&#10;EL4j8Q6W7zRpFhY2aroHqnJBsNLCA7iOnVjyn2bcpn0aJG48BI+DeA3GTunCctkDOTjz52/m+yZZ&#10;3R6dZQcFaILv+HJRc6a8DL3xQ8c/f9q+eMMZJuF7YYNXHT8p5Lfr589WU2xVE8ZgewWMQDy2U+z4&#10;mFJsqwrlqJzARYjKU1IHcCKRC0PVg5gI3dmqqevragrQRwhSIVJ0Myf5GRGeAhi0NlJtgtw75dOM&#10;CsqKRJRwNBH5ukyrtZLpo9aoErMdJ6apnNSE7F0+q/VKtAOIOBp5HkE8ZYRHnJwwnppeoDYiCbYH&#10;8w+UMxICBp0WMrhqJlIUIRbL+pE296OIqnAhqTFeRMf/Bys/HO6Amb7jzRVnXjja+M8v3358/8oo&#10;QOpMEVsquo93cPaQzEz1qMHlN5Fgx6Lo6aKoOiYmKXjd1Fc3rziTlGpe37wsglcPdyNgeqeCY9no&#10;ONC+iozi8B4T9aPS3yW5FQZr+q2xtjgw7N5aYAdBu92WJw9MV/4qsz4X+5CvzekcqTKvmUm2dqE/&#10;kQ77CGYYaZBlQcoZ0r1gnr+RvNg//YL08F+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ipft&#10;1QAAAAYBAAAPAAAAAAAAAAEAIAAAACIAAABkcnMvZG93bnJldi54bWxQSwECFAAUAAAACACHTuJA&#10;NRjUTrIBAABfAwAADgAAAAAAAAABACAAAAAkAQAAZHJzL2Uyb0RvYy54bWxQSwUGAAAAAAYABgBZ&#10;AQAASAUAAAAA&#10;">
                      <v:fill on="t" focussize="0,0"/>
                      <v:stroke on="f"/>
                      <v:imagedata o:title=""/>
                      <o:lock v:ext="edit" aspectratio="f"/>
                    </v:rect>
                  </w:pict>
                </mc:Fallback>
              </mc:AlternateContent>
            </w:r>
            <w:r>
              <w:rPr>
                <w:rFonts w:hint="eastAsia" w:ascii="楷体" w:hAnsi="楷体" w:eastAsia="楷体" w:cs="楷体"/>
                <w:spacing w:val="6"/>
                <w:sz w:val="18"/>
                <w:szCs w:val="18"/>
              </w:rPr>
              <w:t>Y＜50</w:t>
            </w:r>
          </w:p>
        </w:tc>
      </w:tr>
      <w:tr w14:paraId="1899E6D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2214" w:type="dxa"/>
            <w:vMerge w:val="restart"/>
            <w:tcBorders>
              <w:bottom w:val="nil"/>
            </w:tcBorders>
            <w:vAlign w:val="center"/>
          </w:tcPr>
          <w:p w14:paraId="6491F872">
            <w:pPr>
              <w:pStyle w:val="63"/>
              <w:spacing w:line="232" w:lineRule="auto"/>
              <w:jc w:val="center"/>
              <w:rPr>
                <w:rFonts w:ascii="楷体" w:hAnsi="楷体" w:eastAsia="楷体" w:cs="楷体"/>
                <w:sz w:val="18"/>
                <w:szCs w:val="18"/>
              </w:rPr>
            </w:pPr>
            <w:r>
              <w:rPr>
                <w:rFonts w:hint="eastAsia" w:ascii="楷体" w:hAnsi="楷体" w:eastAsia="楷体" w:cs="楷体"/>
                <w:spacing w:val="1"/>
                <w:sz w:val="18"/>
                <w:szCs w:val="18"/>
              </w:rPr>
              <w:t>工业</w:t>
            </w:r>
          </w:p>
        </w:tc>
        <w:tc>
          <w:tcPr>
            <w:tcW w:w="1473" w:type="dxa"/>
          </w:tcPr>
          <w:p w14:paraId="3DBBA051">
            <w:pPr>
              <w:pStyle w:val="63"/>
              <w:spacing w:before="72"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04F5649F">
            <w:pPr>
              <w:pStyle w:val="63"/>
              <w:spacing w:before="72"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030D2568">
            <w:pPr>
              <w:pStyle w:val="63"/>
              <w:spacing w:before="72" w:line="238" w:lineRule="auto"/>
              <w:ind w:left="262"/>
              <w:rPr>
                <w:rFonts w:ascii="楷体" w:hAnsi="楷体" w:eastAsia="楷体" w:cs="楷体"/>
                <w:sz w:val="18"/>
                <w:szCs w:val="18"/>
              </w:rPr>
            </w:pPr>
            <w:r>
              <w:rPr>
                <w:rFonts w:hint="eastAsia" w:ascii="楷体" w:hAnsi="楷体" w:eastAsia="楷体" w:cs="楷体"/>
                <w:spacing w:val="7"/>
                <w:sz w:val="18"/>
                <w:szCs w:val="18"/>
              </w:rPr>
              <w:t>X≥1000</w:t>
            </w:r>
          </w:p>
        </w:tc>
        <w:tc>
          <w:tcPr>
            <w:tcW w:w="1825" w:type="dxa"/>
          </w:tcPr>
          <w:p w14:paraId="0C99144F">
            <w:pPr>
              <w:pStyle w:val="63"/>
              <w:spacing w:before="72" w:line="236" w:lineRule="auto"/>
              <w:ind w:left="329"/>
              <w:rPr>
                <w:rFonts w:ascii="楷体" w:hAnsi="楷体" w:eastAsia="楷体" w:cs="楷体"/>
                <w:sz w:val="18"/>
                <w:szCs w:val="18"/>
              </w:rPr>
            </w:pPr>
            <w:r>
              <w:rPr>
                <w:rFonts w:hint="eastAsia" w:ascii="楷体" w:hAnsi="楷体" w:eastAsia="楷体" w:cs="楷体"/>
                <w:spacing w:val="7"/>
                <w:sz w:val="18"/>
                <w:szCs w:val="18"/>
              </w:rPr>
              <w:t>300≤X＜1000</w:t>
            </w:r>
          </w:p>
        </w:tc>
        <w:tc>
          <w:tcPr>
            <w:tcW w:w="1700" w:type="dxa"/>
          </w:tcPr>
          <w:p w14:paraId="0EE50C15">
            <w:pPr>
              <w:pStyle w:val="63"/>
              <w:spacing w:before="72" w:line="236" w:lineRule="auto"/>
              <w:ind w:left="366"/>
              <w:rPr>
                <w:rFonts w:ascii="楷体" w:hAnsi="楷体" w:eastAsia="楷体" w:cs="楷体"/>
                <w:sz w:val="18"/>
                <w:szCs w:val="18"/>
              </w:rPr>
            </w:pPr>
            <w:r>
              <w:rPr>
                <w:rFonts w:hint="eastAsia" w:ascii="楷体" w:hAnsi="楷体" w:eastAsia="楷体" w:cs="楷体"/>
                <w:spacing w:val="7"/>
                <w:sz w:val="18"/>
                <w:szCs w:val="18"/>
              </w:rPr>
              <w:t>20≤X＜300</w:t>
            </w:r>
          </w:p>
        </w:tc>
        <w:tc>
          <w:tcPr>
            <w:tcW w:w="1026" w:type="dxa"/>
          </w:tcPr>
          <w:p w14:paraId="091DB530">
            <w:pPr>
              <w:pStyle w:val="63"/>
              <w:spacing w:before="72"/>
              <w:ind w:left="268"/>
              <w:rPr>
                <w:rFonts w:ascii="楷体" w:hAnsi="楷体" w:eastAsia="楷体" w:cs="楷体"/>
                <w:sz w:val="18"/>
                <w:szCs w:val="18"/>
              </w:rPr>
            </w:pPr>
            <w:r>
              <w:rPr>
                <w:rFonts w:hint="eastAsia" w:ascii="楷体" w:hAnsi="楷体" w:eastAsia="楷体" w:cs="楷体"/>
                <w:spacing w:val="6"/>
                <w:sz w:val="18"/>
                <w:szCs w:val="18"/>
              </w:rPr>
              <w:t>X＜20</w:t>
            </w:r>
          </w:p>
        </w:tc>
      </w:tr>
      <w:tr w14:paraId="1C645AE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0" w:hRule="atLeast"/>
        </w:trPr>
        <w:tc>
          <w:tcPr>
            <w:tcW w:w="2214" w:type="dxa"/>
            <w:vMerge w:val="continue"/>
            <w:tcBorders>
              <w:top w:val="nil"/>
            </w:tcBorders>
            <w:shd w:val="clear" w:color="auto" w:fill="auto"/>
            <w:vAlign w:val="center"/>
          </w:tcPr>
          <w:p w14:paraId="045BB35F">
            <w:pPr>
              <w:jc w:val="center"/>
              <w:rPr>
                <w:rFonts w:ascii="楷体" w:hAnsi="楷体" w:eastAsia="楷体" w:cs="楷体"/>
                <w:sz w:val="18"/>
                <w:szCs w:val="18"/>
              </w:rPr>
            </w:pPr>
          </w:p>
        </w:tc>
        <w:tc>
          <w:tcPr>
            <w:tcW w:w="1473" w:type="dxa"/>
            <w:shd w:val="clear" w:color="auto" w:fill="B8CCE4"/>
          </w:tcPr>
          <w:p w14:paraId="35438A96">
            <w:pPr>
              <w:pStyle w:val="63"/>
              <w:spacing w:before="57"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49AF1487">
            <w:pPr>
              <w:pStyle w:val="63"/>
              <w:spacing w:before="58"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12C784FC">
            <w:pPr>
              <w:pStyle w:val="63"/>
              <w:spacing w:before="57" w:line="238" w:lineRule="auto"/>
              <w:ind w:left="211"/>
              <w:rPr>
                <w:rFonts w:ascii="楷体" w:hAnsi="楷体" w:eastAsia="楷体" w:cs="楷体"/>
                <w:sz w:val="18"/>
                <w:szCs w:val="18"/>
              </w:rPr>
            </w:pPr>
            <w:r>
              <w:rPr>
                <w:rFonts w:hint="eastAsia" w:ascii="楷体" w:hAnsi="楷体" w:eastAsia="楷体" w:cs="楷体"/>
                <w:spacing w:val="7"/>
                <w:sz w:val="18"/>
                <w:szCs w:val="18"/>
              </w:rPr>
              <w:t>Y≥40000</w:t>
            </w:r>
          </w:p>
        </w:tc>
        <w:tc>
          <w:tcPr>
            <w:tcW w:w="1825" w:type="dxa"/>
            <w:shd w:val="clear" w:color="auto" w:fill="B8CCE4"/>
          </w:tcPr>
          <w:p w14:paraId="34BE1B52">
            <w:pPr>
              <w:pStyle w:val="63"/>
              <w:spacing w:before="58" w:line="236" w:lineRule="auto"/>
              <w:ind w:left="229"/>
              <w:rPr>
                <w:rFonts w:ascii="楷体" w:hAnsi="楷体" w:eastAsia="楷体" w:cs="楷体"/>
                <w:sz w:val="18"/>
                <w:szCs w:val="18"/>
              </w:rPr>
            </w:pPr>
            <w:r>
              <w:rPr>
                <w:rFonts w:hint="eastAsia" w:ascii="楷体" w:hAnsi="楷体" w:eastAsia="楷体" w:cs="楷体"/>
                <w:spacing w:val="7"/>
                <w:sz w:val="18"/>
                <w:szCs w:val="18"/>
              </w:rPr>
              <w:t>2000≤Y＜40000</w:t>
            </w:r>
          </w:p>
        </w:tc>
        <w:tc>
          <w:tcPr>
            <w:tcW w:w="1700" w:type="dxa"/>
            <w:shd w:val="clear" w:color="auto" w:fill="B8CCE4"/>
          </w:tcPr>
          <w:p w14:paraId="761D7B21">
            <w:pPr>
              <w:pStyle w:val="63"/>
              <w:spacing w:before="58" w:line="236" w:lineRule="auto"/>
              <w:ind w:left="269"/>
              <w:rPr>
                <w:rFonts w:ascii="楷体" w:hAnsi="楷体" w:eastAsia="楷体" w:cs="楷体"/>
                <w:sz w:val="18"/>
                <w:szCs w:val="18"/>
              </w:rPr>
            </w:pPr>
            <w:r>
              <w:rPr>
                <w:rFonts w:hint="eastAsia" w:ascii="楷体" w:hAnsi="楷体" w:eastAsia="楷体" w:cs="楷体"/>
                <w:spacing w:val="7"/>
                <w:sz w:val="18"/>
                <w:szCs w:val="18"/>
              </w:rPr>
              <w:t>300≤Y＜2000</w:t>
            </w:r>
          </w:p>
        </w:tc>
        <w:tc>
          <w:tcPr>
            <w:tcW w:w="1026" w:type="dxa"/>
            <w:shd w:val="clear" w:color="auto" w:fill="B8CCE4"/>
          </w:tcPr>
          <w:p w14:paraId="53D224A3">
            <w:pPr>
              <w:pStyle w:val="63"/>
              <w:spacing w:before="57"/>
              <w:ind w:left="216"/>
              <w:rPr>
                <w:rFonts w:ascii="楷体" w:hAnsi="楷体" w:eastAsia="楷体" w:cs="楷体"/>
                <w:sz w:val="18"/>
                <w:szCs w:val="18"/>
              </w:rPr>
            </w:pPr>
            <w:r>
              <w:rPr>
                <w:rFonts w:hint="eastAsia" w:ascii="楷体" w:hAnsi="楷体" w:eastAsia="楷体" w:cs="楷体"/>
                <w:spacing w:val="7"/>
                <w:sz w:val="18"/>
                <w:szCs w:val="18"/>
              </w:rPr>
              <w:t>Y＜300</w:t>
            </w:r>
          </w:p>
        </w:tc>
      </w:tr>
      <w:tr w14:paraId="4429FEB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3" w:hRule="atLeast"/>
        </w:trPr>
        <w:tc>
          <w:tcPr>
            <w:tcW w:w="2214" w:type="dxa"/>
            <w:vMerge w:val="restart"/>
            <w:tcBorders>
              <w:bottom w:val="nil"/>
            </w:tcBorders>
            <w:vAlign w:val="center"/>
          </w:tcPr>
          <w:p w14:paraId="67114222">
            <w:pPr>
              <w:pStyle w:val="63"/>
              <w:spacing w:line="220" w:lineRule="auto"/>
              <w:jc w:val="center"/>
              <w:rPr>
                <w:rFonts w:ascii="楷体" w:hAnsi="楷体" w:eastAsia="楷体" w:cs="楷体"/>
                <w:sz w:val="18"/>
                <w:szCs w:val="18"/>
              </w:rPr>
            </w:pPr>
            <w:r>
              <w:rPr>
                <w:rFonts w:hint="eastAsia" w:ascii="楷体" w:hAnsi="楷体" w:eastAsia="楷体" w:cs="楷体"/>
                <w:spacing w:val="7"/>
                <w:sz w:val="18"/>
                <w:szCs w:val="18"/>
              </w:rPr>
              <w:t>建筑业</w:t>
            </w:r>
          </w:p>
        </w:tc>
        <w:tc>
          <w:tcPr>
            <w:tcW w:w="1473" w:type="dxa"/>
          </w:tcPr>
          <w:p w14:paraId="459C8329">
            <w:pPr>
              <w:pStyle w:val="63"/>
              <w:spacing w:before="73"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tcPr>
          <w:p w14:paraId="79451826">
            <w:pPr>
              <w:pStyle w:val="63"/>
              <w:spacing w:before="74"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tcPr>
          <w:p w14:paraId="60C64153">
            <w:pPr>
              <w:pStyle w:val="63"/>
              <w:spacing w:before="73" w:line="238" w:lineRule="auto"/>
              <w:ind w:left="211"/>
              <w:rPr>
                <w:rFonts w:ascii="楷体" w:hAnsi="楷体" w:eastAsia="楷体" w:cs="楷体"/>
                <w:sz w:val="18"/>
                <w:szCs w:val="18"/>
              </w:rPr>
            </w:pPr>
            <w:r>
              <w:rPr>
                <w:rFonts w:hint="eastAsia" w:ascii="楷体" w:hAnsi="楷体" w:eastAsia="楷体" w:cs="楷体"/>
                <w:spacing w:val="7"/>
                <w:sz w:val="18"/>
                <w:szCs w:val="18"/>
              </w:rPr>
              <w:t>Y≥80000</w:t>
            </w:r>
          </w:p>
        </w:tc>
        <w:tc>
          <w:tcPr>
            <w:tcW w:w="1825" w:type="dxa"/>
          </w:tcPr>
          <w:p w14:paraId="39A6D3C6">
            <w:pPr>
              <w:pStyle w:val="63"/>
              <w:spacing w:before="73" w:line="236" w:lineRule="auto"/>
              <w:ind w:left="229"/>
              <w:rPr>
                <w:rFonts w:ascii="楷体" w:hAnsi="楷体" w:eastAsia="楷体" w:cs="楷体"/>
                <w:sz w:val="18"/>
                <w:szCs w:val="18"/>
              </w:rPr>
            </w:pPr>
            <w:r>
              <w:rPr>
                <w:rFonts w:hint="eastAsia" w:ascii="楷体" w:hAnsi="楷体" w:eastAsia="楷体" w:cs="楷体"/>
                <w:spacing w:val="8"/>
                <w:sz w:val="18"/>
                <w:szCs w:val="18"/>
              </w:rPr>
              <w:t>6000≤Y＜80000</w:t>
            </w:r>
          </w:p>
        </w:tc>
        <w:tc>
          <w:tcPr>
            <w:tcW w:w="1700" w:type="dxa"/>
          </w:tcPr>
          <w:p w14:paraId="018AEF9D">
            <w:pPr>
              <w:pStyle w:val="63"/>
              <w:spacing w:before="73" w:line="236" w:lineRule="auto"/>
              <w:ind w:left="269"/>
              <w:rPr>
                <w:rFonts w:ascii="楷体" w:hAnsi="楷体" w:eastAsia="楷体" w:cs="楷体"/>
                <w:sz w:val="18"/>
                <w:szCs w:val="18"/>
              </w:rPr>
            </w:pPr>
            <w:r>
              <w:rPr>
                <w:rFonts w:hint="eastAsia" w:ascii="楷体" w:hAnsi="楷体" w:eastAsia="楷体" w:cs="楷体"/>
                <w:spacing w:val="7"/>
                <w:sz w:val="18"/>
                <w:szCs w:val="18"/>
              </w:rPr>
              <w:t>300≤Y＜6000</w:t>
            </w:r>
          </w:p>
        </w:tc>
        <w:tc>
          <w:tcPr>
            <w:tcW w:w="1026" w:type="dxa"/>
          </w:tcPr>
          <w:p w14:paraId="493248A6">
            <w:pPr>
              <w:pStyle w:val="63"/>
              <w:spacing w:before="73"/>
              <w:ind w:left="216"/>
              <w:rPr>
                <w:rFonts w:ascii="楷体" w:hAnsi="楷体" w:eastAsia="楷体" w:cs="楷体"/>
                <w:sz w:val="18"/>
                <w:szCs w:val="18"/>
              </w:rPr>
            </w:pPr>
            <w:r>
              <w:rPr>
                <w:rFonts w:hint="eastAsia" w:ascii="楷体" w:hAnsi="楷体" w:eastAsia="楷体" w:cs="楷体"/>
                <w:spacing w:val="7"/>
                <w:sz w:val="18"/>
                <w:szCs w:val="18"/>
              </w:rPr>
              <w:t>Y＜300</w:t>
            </w:r>
          </w:p>
        </w:tc>
      </w:tr>
      <w:tr w14:paraId="7ED1436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6" w:hRule="atLeast"/>
        </w:trPr>
        <w:tc>
          <w:tcPr>
            <w:tcW w:w="2214" w:type="dxa"/>
            <w:vMerge w:val="continue"/>
            <w:tcBorders>
              <w:top w:val="nil"/>
            </w:tcBorders>
            <w:shd w:val="clear" w:color="auto" w:fill="auto"/>
            <w:vAlign w:val="center"/>
          </w:tcPr>
          <w:p w14:paraId="4110AED7">
            <w:pPr>
              <w:jc w:val="center"/>
              <w:rPr>
                <w:rFonts w:ascii="楷体" w:hAnsi="楷体" w:eastAsia="楷体" w:cs="楷体"/>
                <w:sz w:val="18"/>
                <w:szCs w:val="18"/>
              </w:rPr>
            </w:pPr>
          </w:p>
        </w:tc>
        <w:tc>
          <w:tcPr>
            <w:tcW w:w="1473" w:type="dxa"/>
            <w:shd w:val="clear" w:color="auto" w:fill="B8CCE4"/>
          </w:tcPr>
          <w:p w14:paraId="6D756DA7">
            <w:pPr>
              <w:pStyle w:val="63"/>
              <w:spacing w:before="85" w:line="220" w:lineRule="auto"/>
              <w:ind w:left="202"/>
              <w:rPr>
                <w:rFonts w:ascii="楷体" w:hAnsi="楷体" w:eastAsia="楷体" w:cs="楷体"/>
                <w:sz w:val="18"/>
                <w:szCs w:val="18"/>
              </w:rPr>
            </w:pPr>
            <w:r>
              <w:rPr>
                <w:rFonts w:hint="eastAsia" w:ascii="楷体" w:hAnsi="楷体" w:eastAsia="楷体" w:cs="楷体"/>
                <w:spacing w:val="9"/>
                <w:sz w:val="18"/>
                <w:szCs w:val="18"/>
              </w:rPr>
              <w:t>资产总额(Z)</w:t>
            </w:r>
          </w:p>
        </w:tc>
        <w:tc>
          <w:tcPr>
            <w:tcW w:w="757" w:type="dxa"/>
            <w:shd w:val="clear" w:color="auto" w:fill="B8CCE4"/>
          </w:tcPr>
          <w:p w14:paraId="390F6B6E">
            <w:pPr>
              <w:pStyle w:val="63"/>
              <w:spacing w:before="86"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7908A3F5">
            <w:pPr>
              <w:pStyle w:val="63"/>
              <w:spacing w:before="85" w:line="238" w:lineRule="auto"/>
              <w:ind w:left="213"/>
              <w:rPr>
                <w:rFonts w:ascii="楷体" w:hAnsi="楷体" w:eastAsia="楷体" w:cs="楷体"/>
                <w:sz w:val="18"/>
                <w:szCs w:val="18"/>
              </w:rPr>
            </w:pPr>
            <w:r>
              <w:rPr>
                <w:rFonts w:hint="eastAsia" w:ascii="楷体" w:hAnsi="楷体" w:eastAsia="楷体" w:cs="楷体"/>
                <w:spacing w:val="7"/>
                <w:sz w:val="18"/>
                <w:szCs w:val="18"/>
              </w:rPr>
              <w:t>Z≥80000</w:t>
            </w:r>
          </w:p>
        </w:tc>
        <w:tc>
          <w:tcPr>
            <w:tcW w:w="1825" w:type="dxa"/>
            <w:shd w:val="clear" w:color="auto" w:fill="B8CCE4"/>
          </w:tcPr>
          <w:p w14:paraId="432CDC99">
            <w:pPr>
              <w:pStyle w:val="63"/>
              <w:spacing w:before="86" w:line="236" w:lineRule="auto"/>
              <w:ind w:left="231"/>
              <w:rPr>
                <w:rFonts w:ascii="楷体" w:hAnsi="楷体" w:eastAsia="楷体" w:cs="楷体"/>
                <w:sz w:val="18"/>
                <w:szCs w:val="18"/>
              </w:rPr>
            </w:pPr>
            <w:r>
              <w:rPr>
                <w:rFonts w:hint="eastAsia" w:ascii="楷体" w:hAnsi="楷体" w:eastAsia="楷体" w:cs="楷体"/>
                <w:spacing w:val="7"/>
                <w:sz w:val="18"/>
                <w:szCs w:val="18"/>
              </w:rPr>
              <w:t>5000≤Z＜80000</w:t>
            </w:r>
          </w:p>
        </w:tc>
        <w:tc>
          <w:tcPr>
            <w:tcW w:w="1700" w:type="dxa"/>
            <w:shd w:val="clear" w:color="auto" w:fill="B8CCE4"/>
          </w:tcPr>
          <w:p w14:paraId="7032F1D2">
            <w:pPr>
              <w:pStyle w:val="63"/>
              <w:spacing w:before="86" w:line="236" w:lineRule="auto"/>
              <w:ind w:left="269"/>
              <w:rPr>
                <w:rFonts w:ascii="楷体" w:hAnsi="楷体" w:eastAsia="楷体" w:cs="楷体"/>
                <w:sz w:val="18"/>
                <w:szCs w:val="18"/>
              </w:rPr>
            </w:pPr>
            <w:r>
              <w:rPr>
                <w:rFonts w:hint="eastAsia" w:ascii="楷体" w:hAnsi="楷体" w:eastAsia="楷体" w:cs="楷体"/>
                <w:spacing w:val="7"/>
                <w:sz w:val="18"/>
                <w:szCs w:val="18"/>
              </w:rPr>
              <w:t>300≤Z＜5000</w:t>
            </w:r>
          </w:p>
        </w:tc>
        <w:tc>
          <w:tcPr>
            <w:tcW w:w="1026" w:type="dxa"/>
            <w:shd w:val="clear" w:color="auto" w:fill="B8CCE4"/>
          </w:tcPr>
          <w:p w14:paraId="23D4AB03">
            <w:pPr>
              <w:pStyle w:val="63"/>
              <w:spacing w:before="86"/>
              <w:ind w:left="219"/>
              <w:rPr>
                <w:rFonts w:ascii="楷体" w:hAnsi="楷体" w:eastAsia="楷体" w:cs="楷体"/>
                <w:sz w:val="18"/>
                <w:szCs w:val="18"/>
              </w:rPr>
            </w:pPr>
            <w:r>
              <w:rPr>
                <w:rFonts w:hint="eastAsia" w:ascii="楷体" w:hAnsi="楷体" w:eastAsia="楷体" w:cs="楷体"/>
                <w:spacing w:val="6"/>
                <w:sz w:val="18"/>
                <w:szCs w:val="18"/>
              </w:rPr>
              <w:t>Z＜300</w:t>
            </w:r>
          </w:p>
        </w:tc>
      </w:tr>
      <w:tr w14:paraId="7188E09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2214" w:type="dxa"/>
            <w:vMerge w:val="restart"/>
            <w:tcBorders>
              <w:bottom w:val="nil"/>
            </w:tcBorders>
            <w:vAlign w:val="center"/>
          </w:tcPr>
          <w:p w14:paraId="21426A58">
            <w:pPr>
              <w:pStyle w:val="63"/>
              <w:spacing w:line="220" w:lineRule="auto"/>
              <w:jc w:val="center"/>
              <w:rPr>
                <w:rFonts w:ascii="楷体" w:hAnsi="楷体" w:eastAsia="楷体" w:cs="楷体"/>
                <w:sz w:val="18"/>
                <w:szCs w:val="18"/>
              </w:rPr>
            </w:pPr>
            <w:r>
              <w:rPr>
                <w:rFonts w:hint="eastAsia" w:ascii="楷体" w:hAnsi="楷体" w:eastAsia="楷体" w:cs="楷体"/>
                <w:spacing w:val="8"/>
                <w:sz w:val="18"/>
                <w:szCs w:val="18"/>
              </w:rPr>
              <w:t>批发业</w:t>
            </w:r>
          </w:p>
        </w:tc>
        <w:tc>
          <w:tcPr>
            <w:tcW w:w="1473" w:type="dxa"/>
          </w:tcPr>
          <w:p w14:paraId="3A1E564D">
            <w:pPr>
              <w:pStyle w:val="63"/>
              <w:spacing w:before="93"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79B281EE">
            <w:pPr>
              <w:pStyle w:val="63"/>
              <w:spacing w:before="93"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4139C249">
            <w:pPr>
              <w:pStyle w:val="63"/>
              <w:spacing w:before="93" w:line="238" w:lineRule="auto"/>
              <w:ind w:left="310"/>
              <w:rPr>
                <w:rFonts w:ascii="楷体" w:hAnsi="楷体" w:eastAsia="楷体" w:cs="楷体"/>
                <w:sz w:val="18"/>
                <w:szCs w:val="18"/>
              </w:rPr>
            </w:pPr>
            <w:r>
              <w:rPr>
                <w:rFonts w:hint="eastAsia" w:ascii="楷体" w:hAnsi="楷体" w:eastAsia="楷体" w:cs="楷体"/>
                <w:spacing w:val="6"/>
                <w:sz w:val="18"/>
                <w:szCs w:val="18"/>
              </w:rPr>
              <w:t>X≥200</w:t>
            </w:r>
          </w:p>
        </w:tc>
        <w:tc>
          <w:tcPr>
            <w:tcW w:w="1825" w:type="dxa"/>
          </w:tcPr>
          <w:p w14:paraId="7C6EDC52">
            <w:pPr>
              <w:pStyle w:val="63"/>
              <w:spacing w:before="93" w:line="236" w:lineRule="auto"/>
              <w:ind w:left="426"/>
              <w:rPr>
                <w:rFonts w:ascii="楷体" w:hAnsi="楷体" w:eastAsia="楷体" w:cs="楷体"/>
                <w:sz w:val="18"/>
                <w:szCs w:val="18"/>
              </w:rPr>
            </w:pPr>
            <w:r>
              <w:rPr>
                <w:rFonts w:hint="eastAsia" w:ascii="楷体" w:hAnsi="楷体" w:eastAsia="楷体" w:cs="楷体"/>
                <w:spacing w:val="7"/>
                <w:sz w:val="18"/>
                <w:szCs w:val="18"/>
              </w:rPr>
              <w:t>20≤X＜200</w:t>
            </w:r>
          </w:p>
        </w:tc>
        <w:tc>
          <w:tcPr>
            <w:tcW w:w="1700" w:type="dxa"/>
          </w:tcPr>
          <w:p w14:paraId="34A22AC4">
            <w:pPr>
              <w:pStyle w:val="63"/>
              <w:spacing w:before="93" w:line="236" w:lineRule="auto"/>
              <w:ind w:left="466"/>
              <w:rPr>
                <w:rFonts w:ascii="楷体" w:hAnsi="楷体" w:eastAsia="楷体" w:cs="楷体"/>
                <w:sz w:val="18"/>
                <w:szCs w:val="18"/>
              </w:rPr>
            </w:pPr>
            <w:r>
              <w:rPr>
                <w:rFonts w:hint="eastAsia" w:ascii="楷体" w:hAnsi="楷体" w:eastAsia="楷体" w:cs="楷体"/>
                <w:spacing w:val="7"/>
                <w:sz w:val="18"/>
                <w:szCs w:val="18"/>
              </w:rPr>
              <w:t>5≤X＜20</w:t>
            </w:r>
          </w:p>
        </w:tc>
        <w:tc>
          <w:tcPr>
            <w:tcW w:w="1026" w:type="dxa"/>
          </w:tcPr>
          <w:p w14:paraId="14A1148D">
            <w:pPr>
              <w:pStyle w:val="63"/>
              <w:spacing w:before="93"/>
              <w:ind w:left="316"/>
              <w:rPr>
                <w:rFonts w:ascii="楷体" w:hAnsi="楷体" w:eastAsia="楷体" w:cs="楷体"/>
                <w:sz w:val="18"/>
                <w:szCs w:val="18"/>
              </w:rPr>
            </w:pPr>
            <w:r>
              <w:rPr>
                <w:rFonts w:hint="eastAsia" w:ascii="楷体" w:hAnsi="楷体" w:eastAsia="楷体" w:cs="楷体"/>
                <w:spacing w:val="5"/>
                <w:sz w:val="18"/>
                <w:szCs w:val="18"/>
              </w:rPr>
              <w:t>X＜5</w:t>
            </w:r>
          </w:p>
        </w:tc>
      </w:tr>
      <w:tr w14:paraId="06B0848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1" w:hRule="atLeast"/>
        </w:trPr>
        <w:tc>
          <w:tcPr>
            <w:tcW w:w="2214" w:type="dxa"/>
            <w:vMerge w:val="continue"/>
            <w:tcBorders>
              <w:top w:val="nil"/>
            </w:tcBorders>
            <w:shd w:val="clear" w:color="auto" w:fill="auto"/>
            <w:vAlign w:val="center"/>
          </w:tcPr>
          <w:p w14:paraId="23C4FECA">
            <w:pPr>
              <w:jc w:val="center"/>
              <w:rPr>
                <w:rFonts w:ascii="楷体" w:hAnsi="楷体" w:eastAsia="楷体" w:cs="楷体"/>
                <w:sz w:val="18"/>
                <w:szCs w:val="18"/>
              </w:rPr>
            </w:pPr>
          </w:p>
        </w:tc>
        <w:tc>
          <w:tcPr>
            <w:tcW w:w="1473" w:type="dxa"/>
            <w:shd w:val="clear" w:color="auto" w:fill="B8CCE4"/>
          </w:tcPr>
          <w:p w14:paraId="1E991D02">
            <w:pPr>
              <w:pStyle w:val="63"/>
              <w:spacing w:before="79"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6CC06141">
            <w:pPr>
              <w:pStyle w:val="63"/>
              <w:spacing w:before="80"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6B130779">
            <w:pPr>
              <w:pStyle w:val="63"/>
              <w:spacing w:before="79" w:line="238" w:lineRule="auto"/>
              <w:ind w:left="211"/>
              <w:rPr>
                <w:rFonts w:ascii="楷体" w:hAnsi="楷体" w:eastAsia="楷体" w:cs="楷体"/>
                <w:sz w:val="18"/>
                <w:szCs w:val="18"/>
              </w:rPr>
            </w:pPr>
            <w:r>
              <w:rPr>
                <w:rFonts w:hint="eastAsia" w:ascii="楷体" w:hAnsi="楷体" w:eastAsia="楷体" w:cs="楷体"/>
                <w:spacing w:val="7"/>
                <w:sz w:val="18"/>
                <w:szCs w:val="18"/>
              </w:rPr>
              <w:t>Y≥40000</w:t>
            </w:r>
          </w:p>
        </w:tc>
        <w:tc>
          <w:tcPr>
            <w:tcW w:w="1825" w:type="dxa"/>
            <w:shd w:val="clear" w:color="auto" w:fill="B8CCE4"/>
          </w:tcPr>
          <w:p w14:paraId="16AF345B">
            <w:pPr>
              <w:pStyle w:val="63"/>
              <w:spacing w:before="79" w:line="236" w:lineRule="auto"/>
              <w:ind w:left="231"/>
              <w:rPr>
                <w:rFonts w:ascii="楷体" w:hAnsi="楷体" w:eastAsia="楷体" w:cs="楷体"/>
                <w:sz w:val="18"/>
                <w:szCs w:val="18"/>
              </w:rPr>
            </w:pPr>
            <w:r>
              <w:rPr>
                <w:rFonts w:hint="eastAsia" w:ascii="楷体" w:hAnsi="楷体" w:eastAsia="楷体" w:cs="楷体"/>
                <w:spacing w:val="7"/>
                <w:sz w:val="18"/>
                <w:szCs w:val="18"/>
              </w:rPr>
              <w:t>5000≤Y＜40000</w:t>
            </w:r>
          </w:p>
        </w:tc>
        <w:tc>
          <w:tcPr>
            <w:tcW w:w="1700" w:type="dxa"/>
            <w:shd w:val="clear" w:color="auto" w:fill="B8CCE4"/>
          </w:tcPr>
          <w:p w14:paraId="0B95D8FC">
            <w:pPr>
              <w:pStyle w:val="63"/>
              <w:spacing w:before="79" w:line="236" w:lineRule="auto"/>
              <w:ind w:left="230"/>
              <w:rPr>
                <w:rFonts w:ascii="楷体" w:hAnsi="楷体" w:eastAsia="楷体" w:cs="楷体"/>
                <w:sz w:val="18"/>
                <w:szCs w:val="18"/>
              </w:rPr>
            </w:pPr>
            <w:r>
              <w:rPr>
                <w:rFonts w:hint="eastAsia" w:ascii="楷体" w:hAnsi="楷体" w:eastAsia="楷体" w:cs="楷体"/>
                <w:spacing w:val="6"/>
                <w:sz w:val="18"/>
                <w:szCs w:val="18"/>
              </w:rPr>
              <w:t>1000≤Y＜5000</w:t>
            </w:r>
          </w:p>
        </w:tc>
        <w:tc>
          <w:tcPr>
            <w:tcW w:w="1026" w:type="dxa"/>
            <w:shd w:val="clear" w:color="auto" w:fill="B8CCE4"/>
          </w:tcPr>
          <w:p w14:paraId="20755C68">
            <w:pPr>
              <w:pStyle w:val="63"/>
              <w:spacing w:before="79"/>
              <w:ind w:left="168"/>
              <w:rPr>
                <w:rFonts w:ascii="楷体" w:hAnsi="楷体" w:eastAsia="楷体" w:cs="楷体"/>
                <w:sz w:val="18"/>
                <w:szCs w:val="18"/>
              </w:rPr>
            </w:pPr>
            <w:r>
              <w:rPr>
                <w:rFonts w:hint="eastAsia" w:ascii="楷体" w:hAnsi="楷体" w:eastAsia="楷体" w:cs="楷体"/>
                <w:spacing w:val="7"/>
                <w:sz w:val="18"/>
                <w:szCs w:val="18"/>
              </w:rPr>
              <w:t>Y＜1000</w:t>
            </w:r>
          </w:p>
        </w:tc>
      </w:tr>
      <w:tr w14:paraId="4E1F75E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3" w:hRule="atLeast"/>
        </w:trPr>
        <w:tc>
          <w:tcPr>
            <w:tcW w:w="2214" w:type="dxa"/>
            <w:vMerge w:val="restart"/>
            <w:tcBorders>
              <w:bottom w:val="nil"/>
            </w:tcBorders>
            <w:vAlign w:val="center"/>
          </w:tcPr>
          <w:p w14:paraId="6C29579C">
            <w:pPr>
              <w:pStyle w:val="63"/>
              <w:spacing w:line="220" w:lineRule="auto"/>
              <w:jc w:val="center"/>
              <w:rPr>
                <w:rFonts w:ascii="楷体" w:hAnsi="楷体" w:eastAsia="楷体" w:cs="楷体"/>
                <w:sz w:val="18"/>
                <w:szCs w:val="18"/>
              </w:rPr>
            </w:pPr>
            <w:r>
              <w:rPr>
                <w:rFonts w:hint="eastAsia" w:ascii="楷体" w:hAnsi="楷体" w:eastAsia="楷体" w:cs="楷体"/>
                <w:spacing w:val="7"/>
                <w:sz w:val="18"/>
                <w:szCs w:val="18"/>
              </w:rPr>
              <w:t>零售业</w:t>
            </w:r>
          </w:p>
        </w:tc>
        <w:tc>
          <w:tcPr>
            <w:tcW w:w="1473" w:type="dxa"/>
          </w:tcPr>
          <w:p w14:paraId="5D15ABE6">
            <w:pPr>
              <w:pStyle w:val="63"/>
              <w:spacing w:before="94"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52DD4495">
            <w:pPr>
              <w:pStyle w:val="63"/>
              <w:spacing w:before="94"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1F496CB9">
            <w:pPr>
              <w:pStyle w:val="63"/>
              <w:spacing w:before="93" w:line="238" w:lineRule="auto"/>
              <w:ind w:left="310"/>
              <w:rPr>
                <w:rFonts w:ascii="楷体" w:hAnsi="楷体" w:eastAsia="楷体" w:cs="楷体"/>
                <w:sz w:val="18"/>
                <w:szCs w:val="18"/>
              </w:rPr>
            </w:pPr>
            <w:r>
              <w:rPr>
                <w:rFonts w:hint="eastAsia" w:ascii="楷体" w:hAnsi="楷体" w:eastAsia="楷体" w:cs="楷体"/>
                <w:spacing w:val="6"/>
                <w:sz w:val="18"/>
                <w:szCs w:val="18"/>
              </w:rPr>
              <w:t>X≥300</w:t>
            </w:r>
          </w:p>
        </w:tc>
        <w:tc>
          <w:tcPr>
            <w:tcW w:w="1825" w:type="dxa"/>
          </w:tcPr>
          <w:p w14:paraId="29707984">
            <w:pPr>
              <w:pStyle w:val="63"/>
              <w:spacing w:before="94" w:line="236" w:lineRule="auto"/>
              <w:ind w:left="428"/>
              <w:rPr>
                <w:rFonts w:ascii="楷体" w:hAnsi="楷体" w:eastAsia="楷体" w:cs="楷体"/>
                <w:sz w:val="18"/>
                <w:szCs w:val="18"/>
              </w:rPr>
            </w:pPr>
            <w:r>
              <w:rPr>
                <w:rFonts w:hint="eastAsia" w:ascii="楷体" w:hAnsi="楷体" w:eastAsia="楷体" w:cs="楷体"/>
                <w:spacing w:val="7"/>
                <w:sz w:val="18"/>
                <w:szCs w:val="18"/>
              </w:rPr>
              <w:t>50≤X＜300</w:t>
            </w:r>
          </w:p>
        </w:tc>
        <w:tc>
          <w:tcPr>
            <w:tcW w:w="1700" w:type="dxa"/>
          </w:tcPr>
          <w:p w14:paraId="00DF766A">
            <w:pPr>
              <w:pStyle w:val="63"/>
              <w:spacing w:before="94" w:line="236" w:lineRule="auto"/>
              <w:ind w:left="425"/>
              <w:rPr>
                <w:rFonts w:ascii="楷体" w:hAnsi="楷体" w:eastAsia="楷体" w:cs="楷体"/>
                <w:sz w:val="18"/>
                <w:szCs w:val="18"/>
              </w:rPr>
            </w:pPr>
            <w:r>
              <w:rPr>
                <w:rFonts w:hint="eastAsia" w:ascii="楷体" w:hAnsi="楷体" w:eastAsia="楷体" w:cs="楷体"/>
                <w:spacing w:val="6"/>
                <w:sz w:val="18"/>
                <w:szCs w:val="18"/>
              </w:rPr>
              <w:t>10≤X＜50</w:t>
            </w:r>
          </w:p>
        </w:tc>
        <w:tc>
          <w:tcPr>
            <w:tcW w:w="1026" w:type="dxa"/>
          </w:tcPr>
          <w:p w14:paraId="6CD97E1E">
            <w:pPr>
              <w:pStyle w:val="63"/>
              <w:spacing w:before="94"/>
              <w:ind w:left="268"/>
              <w:rPr>
                <w:rFonts w:ascii="楷体" w:hAnsi="楷体" w:eastAsia="楷体" w:cs="楷体"/>
                <w:sz w:val="18"/>
                <w:szCs w:val="18"/>
              </w:rPr>
            </w:pPr>
            <w:r>
              <w:rPr>
                <w:rFonts w:hint="eastAsia" w:ascii="楷体" w:hAnsi="楷体" w:eastAsia="楷体" w:cs="楷体"/>
                <w:spacing w:val="6"/>
                <w:sz w:val="18"/>
                <w:szCs w:val="18"/>
              </w:rPr>
              <w:t>X＜10</w:t>
            </w:r>
          </w:p>
        </w:tc>
      </w:tr>
      <w:tr w14:paraId="18A8E97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4" w:hRule="atLeast"/>
        </w:trPr>
        <w:tc>
          <w:tcPr>
            <w:tcW w:w="2214" w:type="dxa"/>
            <w:vMerge w:val="continue"/>
            <w:tcBorders>
              <w:top w:val="nil"/>
            </w:tcBorders>
            <w:shd w:val="clear" w:color="auto" w:fill="auto"/>
            <w:vAlign w:val="center"/>
          </w:tcPr>
          <w:p w14:paraId="1494C0F5">
            <w:pPr>
              <w:jc w:val="center"/>
              <w:rPr>
                <w:rFonts w:ascii="楷体" w:hAnsi="楷体" w:eastAsia="楷体" w:cs="楷体"/>
                <w:sz w:val="18"/>
                <w:szCs w:val="18"/>
              </w:rPr>
            </w:pPr>
          </w:p>
        </w:tc>
        <w:tc>
          <w:tcPr>
            <w:tcW w:w="1473" w:type="dxa"/>
            <w:shd w:val="clear" w:color="auto" w:fill="B8CCE4"/>
          </w:tcPr>
          <w:p w14:paraId="5660F444">
            <w:pPr>
              <w:pStyle w:val="63"/>
              <w:spacing w:before="106"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1BD4F761">
            <w:pPr>
              <w:pStyle w:val="63"/>
              <w:spacing w:before="107"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06F2883B">
            <w:pPr>
              <w:pStyle w:val="63"/>
              <w:spacing w:before="106" w:line="238" w:lineRule="auto"/>
              <w:ind w:left="211"/>
              <w:rPr>
                <w:rFonts w:ascii="楷体" w:hAnsi="楷体" w:eastAsia="楷体" w:cs="楷体"/>
                <w:sz w:val="18"/>
                <w:szCs w:val="18"/>
              </w:rPr>
            </w:pPr>
            <w:r>
              <w:rPr>
                <w:rFonts w:hint="eastAsia" w:ascii="楷体" w:hAnsi="楷体" w:eastAsia="楷体" w:cs="楷体"/>
                <w:spacing w:val="7"/>
                <w:sz w:val="18"/>
                <w:szCs w:val="18"/>
              </w:rPr>
              <w:t>Y≥20000</w:t>
            </w:r>
          </w:p>
        </w:tc>
        <w:tc>
          <w:tcPr>
            <w:tcW w:w="1825" w:type="dxa"/>
            <w:shd w:val="clear" w:color="auto" w:fill="B8CCE4"/>
          </w:tcPr>
          <w:p w14:paraId="7EE5F8ED">
            <w:pPr>
              <w:pStyle w:val="63"/>
              <w:spacing w:before="107" w:line="236" w:lineRule="auto"/>
              <w:ind w:left="279"/>
              <w:rPr>
                <w:rFonts w:ascii="楷体" w:hAnsi="楷体" w:eastAsia="楷体" w:cs="楷体"/>
                <w:sz w:val="18"/>
                <w:szCs w:val="18"/>
              </w:rPr>
            </w:pPr>
            <w:r>
              <w:rPr>
                <w:rFonts w:hint="eastAsia" w:ascii="楷体" w:hAnsi="楷体" w:eastAsia="楷体" w:cs="楷体"/>
                <w:spacing w:val="7"/>
                <w:sz w:val="18"/>
                <w:szCs w:val="18"/>
              </w:rPr>
              <w:t>500≤Y＜20000</w:t>
            </w:r>
          </w:p>
        </w:tc>
        <w:tc>
          <w:tcPr>
            <w:tcW w:w="1700" w:type="dxa"/>
            <w:shd w:val="clear" w:color="auto" w:fill="B8CCE4"/>
          </w:tcPr>
          <w:p w14:paraId="51BB5B0E">
            <w:pPr>
              <w:pStyle w:val="63"/>
              <w:spacing w:before="107" w:line="236" w:lineRule="auto"/>
              <w:ind w:left="329"/>
              <w:rPr>
                <w:rFonts w:ascii="楷体" w:hAnsi="楷体" w:eastAsia="楷体" w:cs="楷体"/>
                <w:sz w:val="18"/>
                <w:szCs w:val="18"/>
              </w:rPr>
            </w:pPr>
            <w:r>
              <w:rPr>
                <w:rFonts w:hint="eastAsia" w:ascii="楷体" w:hAnsi="楷体" w:eastAsia="楷体" w:cs="楷体"/>
                <w:spacing w:val="6"/>
                <w:sz w:val="18"/>
                <w:szCs w:val="18"/>
              </w:rPr>
              <w:t>100≤Y＜500</w:t>
            </w:r>
          </w:p>
        </w:tc>
        <w:tc>
          <w:tcPr>
            <w:tcW w:w="1026" w:type="dxa"/>
            <w:shd w:val="clear" w:color="auto" w:fill="B8CCE4"/>
          </w:tcPr>
          <w:p w14:paraId="17CA8B24">
            <w:pPr>
              <w:pStyle w:val="63"/>
              <w:spacing w:before="106"/>
              <w:ind w:left="216"/>
              <w:rPr>
                <w:rFonts w:ascii="楷体" w:hAnsi="楷体" w:eastAsia="楷体" w:cs="楷体"/>
                <w:sz w:val="18"/>
                <w:szCs w:val="18"/>
              </w:rPr>
            </w:pPr>
            <w:r>
              <w:rPr>
                <w:rFonts w:hint="eastAsia" w:ascii="楷体" w:hAnsi="楷体" w:eastAsia="楷体" w:cs="楷体"/>
                <w:spacing w:val="7"/>
                <w:sz w:val="18"/>
                <w:szCs w:val="18"/>
              </w:rPr>
              <w:t>Y＜100</w:t>
            </w:r>
          </w:p>
        </w:tc>
      </w:tr>
      <w:tr w14:paraId="0EFF367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2214" w:type="dxa"/>
            <w:vMerge w:val="restart"/>
            <w:tcBorders>
              <w:bottom w:val="nil"/>
            </w:tcBorders>
            <w:vAlign w:val="center"/>
          </w:tcPr>
          <w:p w14:paraId="718B53E5">
            <w:pPr>
              <w:pStyle w:val="63"/>
              <w:spacing w:line="220" w:lineRule="auto"/>
              <w:jc w:val="center"/>
              <w:rPr>
                <w:rFonts w:ascii="楷体" w:hAnsi="楷体" w:eastAsia="楷体" w:cs="楷体"/>
                <w:sz w:val="18"/>
                <w:szCs w:val="18"/>
              </w:rPr>
            </w:pPr>
            <w:r>
              <w:rPr>
                <w:rFonts w:hint="eastAsia" w:ascii="楷体" w:hAnsi="楷体" w:eastAsia="楷体" w:cs="楷体"/>
                <w:spacing w:val="8"/>
                <w:sz w:val="18"/>
                <w:szCs w:val="18"/>
              </w:rPr>
              <w:t>交通运输业</w:t>
            </w:r>
          </w:p>
        </w:tc>
        <w:tc>
          <w:tcPr>
            <w:tcW w:w="1473" w:type="dxa"/>
          </w:tcPr>
          <w:p w14:paraId="6063ECBF">
            <w:pPr>
              <w:pStyle w:val="63"/>
              <w:spacing w:before="106"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036DF0F3">
            <w:pPr>
              <w:pStyle w:val="63"/>
              <w:spacing w:before="106"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0F3D020A">
            <w:pPr>
              <w:pStyle w:val="63"/>
              <w:spacing w:before="105" w:line="238" w:lineRule="auto"/>
              <w:ind w:left="262"/>
              <w:rPr>
                <w:rFonts w:ascii="楷体" w:hAnsi="楷体" w:eastAsia="楷体" w:cs="楷体"/>
                <w:sz w:val="18"/>
                <w:szCs w:val="18"/>
              </w:rPr>
            </w:pPr>
            <w:r>
              <w:rPr>
                <w:rFonts w:hint="eastAsia" w:ascii="楷体" w:hAnsi="楷体" w:eastAsia="楷体" w:cs="楷体"/>
                <w:spacing w:val="7"/>
                <w:sz w:val="18"/>
                <w:szCs w:val="18"/>
              </w:rPr>
              <w:t>X≥1000</w:t>
            </w:r>
          </w:p>
        </w:tc>
        <w:tc>
          <w:tcPr>
            <w:tcW w:w="1825" w:type="dxa"/>
          </w:tcPr>
          <w:p w14:paraId="578ACC96">
            <w:pPr>
              <w:pStyle w:val="63"/>
              <w:spacing w:before="106" w:line="236" w:lineRule="auto"/>
              <w:ind w:left="329"/>
              <w:rPr>
                <w:rFonts w:ascii="楷体" w:hAnsi="楷体" w:eastAsia="楷体" w:cs="楷体"/>
                <w:sz w:val="18"/>
                <w:szCs w:val="18"/>
              </w:rPr>
            </w:pPr>
            <w:r>
              <w:rPr>
                <w:rFonts w:hint="eastAsia" w:ascii="楷体" w:hAnsi="楷体" w:eastAsia="楷体" w:cs="楷体"/>
                <w:spacing w:val="7"/>
                <w:sz w:val="18"/>
                <w:szCs w:val="18"/>
              </w:rPr>
              <w:t>300≤X＜1000</w:t>
            </w:r>
          </w:p>
        </w:tc>
        <w:tc>
          <w:tcPr>
            <w:tcW w:w="1700" w:type="dxa"/>
          </w:tcPr>
          <w:p w14:paraId="6CE0A50B">
            <w:pPr>
              <w:pStyle w:val="63"/>
              <w:spacing w:before="106" w:line="236" w:lineRule="auto"/>
              <w:ind w:left="366"/>
              <w:rPr>
                <w:rFonts w:ascii="楷体" w:hAnsi="楷体" w:eastAsia="楷体" w:cs="楷体"/>
                <w:sz w:val="18"/>
                <w:szCs w:val="18"/>
              </w:rPr>
            </w:pPr>
            <w:r>
              <w:rPr>
                <w:rFonts w:hint="eastAsia" w:ascii="楷体" w:hAnsi="楷体" w:eastAsia="楷体" w:cs="楷体"/>
                <w:spacing w:val="7"/>
                <w:sz w:val="18"/>
                <w:szCs w:val="18"/>
              </w:rPr>
              <w:t>20≤X＜300</w:t>
            </w:r>
          </w:p>
        </w:tc>
        <w:tc>
          <w:tcPr>
            <w:tcW w:w="1026" w:type="dxa"/>
          </w:tcPr>
          <w:p w14:paraId="6928964C">
            <w:pPr>
              <w:pStyle w:val="63"/>
              <w:spacing w:before="105"/>
              <w:ind w:left="268"/>
              <w:rPr>
                <w:rFonts w:ascii="楷体" w:hAnsi="楷体" w:eastAsia="楷体" w:cs="楷体"/>
                <w:sz w:val="18"/>
                <w:szCs w:val="18"/>
              </w:rPr>
            </w:pPr>
            <w:r>
              <w:rPr>
                <w:rFonts w:hint="eastAsia" w:ascii="楷体" w:hAnsi="楷体" w:eastAsia="楷体" w:cs="楷体"/>
                <w:spacing w:val="6"/>
                <w:sz w:val="18"/>
                <w:szCs w:val="18"/>
              </w:rPr>
              <w:t>X＜20</w:t>
            </w:r>
          </w:p>
        </w:tc>
      </w:tr>
      <w:tr w14:paraId="0A87307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2214" w:type="dxa"/>
            <w:vMerge w:val="continue"/>
            <w:tcBorders>
              <w:top w:val="nil"/>
            </w:tcBorders>
            <w:shd w:val="clear" w:color="auto" w:fill="auto"/>
            <w:vAlign w:val="center"/>
          </w:tcPr>
          <w:p w14:paraId="42823B13">
            <w:pPr>
              <w:jc w:val="center"/>
              <w:rPr>
                <w:rFonts w:ascii="楷体" w:hAnsi="楷体" w:eastAsia="楷体" w:cs="楷体"/>
                <w:sz w:val="18"/>
                <w:szCs w:val="18"/>
              </w:rPr>
            </w:pPr>
          </w:p>
        </w:tc>
        <w:tc>
          <w:tcPr>
            <w:tcW w:w="1473" w:type="dxa"/>
            <w:shd w:val="clear" w:color="auto" w:fill="B8CCE4"/>
          </w:tcPr>
          <w:p w14:paraId="1799063F">
            <w:pPr>
              <w:pStyle w:val="63"/>
              <w:spacing w:before="91"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64C700E2">
            <w:pPr>
              <w:pStyle w:val="63"/>
              <w:spacing w:before="92"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44876EF1">
            <w:pPr>
              <w:pStyle w:val="63"/>
              <w:spacing w:before="91" w:line="238" w:lineRule="auto"/>
              <w:ind w:left="211"/>
              <w:rPr>
                <w:rFonts w:ascii="楷体" w:hAnsi="楷体" w:eastAsia="楷体" w:cs="楷体"/>
                <w:sz w:val="18"/>
                <w:szCs w:val="18"/>
              </w:rPr>
            </w:pPr>
            <w:r>
              <w:rPr>
                <w:rFonts w:hint="eastAsia" w:ascii="楷体" w:hAnsi="楷体" w:eastAsia="楷体" w:cs="楷体"/>
                <w:spacing w:val="7"/>
                <w:sz w:val="18"/>
                <w:szCs w:val="18"/>
              </w:rPr>
              <w:t>Y≥30000</w:t>
            </w:r>
          </w:p>
        </w:tc>
        <w:tc>
          <w:tcPr>
            <w:tcW w:w="1825" w:type="dxa"/>
            <w:shd w:val="clear" w:color="auto" w:fill="B8CCE4"/>
          </w:tcPr>
          <w:p w14:paraId="0FC5F89F">
            <w:pPr>
              <w:pStyle w:val="63"/>
              <w:spacing w:before="91" w:line="236" w:lineRule="auto"/>
              <w:ind w:left="231"/>
              <w:rPr>
                <w:rFonts w:ascii="楷体" w:hAnsi="楷体" w:eastAsia="楷体" w:cs="楷体"/>
                <w:sz w:val="18"/>
                <w:szCs w:val="18"/>
              </w:rPr>
            </w:pPr>
            <w:r>
              <w:rPr>
                <w:rFonts w:hint="eastAsia" w:ascii="楷体" w:hAnsi="楷体" w:eastAsia="楷体" w:cs="楷体"/>
                <w:spacing w:val="7"/>
                <w:sz w:val="18"/>
                <w:szCs w:val="18"/>
              </w:rPr>
              <w:t>3000≤Y＜30000</w:t>
            </w:r>
          </w:p>
        </w:tc>
        <w:tc>
          <w:tcPr>
            <w:tcW w:w="1700" w:type="dxa"/>
            <w:shd w:val="clear" w:color="auto" w:fill="B8CCE4"/>
          </w:tcPr>
          <w:p w14:paraId="1B977509">
            <w:pPr>
              <w:pStyle w:val="63"/>
              <w:spacing w:before="91" w:line="236" w:lineRule="auto"/>
              <w:ind w:left="267"/>
              <w:rPr>
                <w:rFonts w:ascii="楷体" w:hAnsi="楷体" w:eastAsia="楷体" w:cs="楷体"/>
                <w:sz w:val="18"/>
                <w:szCs w:val="18"/>
              </w:rPr>
            </w:pPr>
            <w:r>
              <w:rPr>
                <w:rFonts w:hint="eastAsia" w:ascii="楷体" w:hAnsi="楷体" w:eastAsia="楷体" w:cs="楷体"/>
                <w:spacing w:val="7"/>
                <w:sz w:val="18"/>
                <w:szCs w:val="18"/>
              </w:rPr>
              <w:t>200≤Y＜3000</w:t>
            </w:r>
          </w:p>
        </w:tc>
        <w:tc>
          <w:tcPr>
            <w:tcW w:w="1026" w:type="dxa"/>
            <w:shd w:val="clear" w:color="auto" w:fill="B8CCE4"/>
          </w:tcPr>
          <w:p w14:paraId="2F63E5AE">
            <w:pPr>
              <w:pStyle w:val="63"/>
              <w:spacing w:before="91"/>
              <w:ind w:left="216"/>
              <w:rPr>
                <w:rFonts w:ascii="楷体" w:hAnsi="楷体" w:eastAsia="楷体" w:cs="楷体"/>
                <w:sz w:val="18"/>
                <w:szCs w:val="18"/>
              </w:rPr>
            </w:pPr>
            <w:r>
              <w:rPr>
                <w:rFonts w:hint="eastAsia" w:ascii="楷体" w:hAnsi="楷体" w:eastAsia="楷体" w:cs="楷体"/>
                <w:spacing w:val="7"/>
                <w:sz w:val="18"/>
                <w:szCs w:val="18"/>
              </w:rPr>
              <w:t>Y＜200</w:t>
            </w:r>
          </w:p>
        </w:tc>
      </w:tr>
      <w:tr w14:paraId="79E7EB8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3" w:hRule="atLeast"/>
        </w:trPr>
        <w:tc>
          <w:tcPr>
            <w:tcW w:w="2214" w:type="dxa"/>
            <w:vMerge w:val="restart"/>
            <w:tcBorders>
              <w:bottom w:val="nil"/>
            </w:tcBorders>
            <w:vAlign w:val="center"/>
          </w:tcPr>
          <w:p w14:paraId="45D080C6">
            <w:pPr>
              <w:pStyle w:val="63"/>
              <w:spacing w:line="220" w:lineRule="auto"/>
              <w:jc w:val="center"/>
              <w:rPr>
                <w:rFonts w:ascii="楷体" w:hAnsi="楷体" w:eastAsia="楷体" w:cs="楷体"/>
                <w:sz w:val="18"/>
                <w:szCs w:val="18"/>
              </w:rPr>
            </w:pPr>
            <w:r>
              <w:rPr>
                <w:rFonts w:hint="eastAsia" w:ascii="楷体" w:hAnsi="楷体" w:eastAsia="楷体" w:cs="楷体"/>
                <w:spacing w:val="9"/>
                <w:sz w:val="18"/>
                <w:szCs w:val="18"/>
              </w:rPr>
              <w:t>仓储业</w:t>
            </w:r>
          </w:p>
        </w:tc>
        <w:tc>
          <w:tcPr>
            <w:tcW w:w="1473" w:type="dxa"/>
          </w:tcPr>
          <w:p w14:paraId="02EE6A62">
            <w:pPr>
              <w:pStyle w:val="63"/>
              <w:spacing w:before="99"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45E694D6">
            <w:pPr>
              <w:pStyle w:val="63"/>
              <w:spacing w:before="99"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495D4318">
            <w:pPr>
              <w:pStyle w:val="63"/>
              <w:spacing w:before="98" w:line="238" w:lineRule="auto"/>
              <w:ind w:left="310"/>
              <w:rPr>
                <w:rFonts w:ascii="楷体" w:hAnsi="楷体" w:eastAsia="楷体" w:cs="楷体"/>
                <w:sz w:val="18"/>
                <w:szCs w:val="18"/>
              </w:rPr>
            </w:pPr>
            <w:r>
              <w:rPr>
                <w:rFonts w:hint="eastAsia" w:ascii="楷体" w:hAnsi="楷体" w:eastAsia="楷体" w:cs="楷体"/>
                <w:spacing w:val="6"/>
                <w:sz w:val="18"/>
                <w:szCs w:val="18"/>
              </w:rPr>
              <w:t>X≥200</w:t>
            </w:r>
          </w:p>
        </w:tc>
        <w:tc>
          <w:tcPr>
            <w:tcW w:w="1825" w:type="dxa"/>
          </w:tcPr>
          <w:p w14:paraId="613733CB">
            <w:pPr>
              <w:pStyle w:val="63"/>
              <w:spacing w:before="99" w:line="236" w:lineRule="auto"/>
              <w:ind w:left="387"/>
              <w:rPr>
                <w:rFonts w:ascii="楷体" w:hAnsi="楷体" w:eastAsia="楷体" w:cs="楷体"/>
                <w:sz w:val="18"/>
                <w:szCs w:val="18"/>
              </w:rPr>
            </w:pPr>
            <w:r>
              <w:rPr>
                <w:rFonts w:hint="eastAsia" w:ascii="楷体" w:hAnsi="楷体" w:eastAsia="楷体" w:cs="楷体"/>
                <w:spacing w:val="6"/>
                <w:sz w:val="18"/>
                <w:szCs w:val="18"/>
              </w:rPr>
              <w:t>100≤X＜200</w:t>
            </w:r>
          </w:p>
        </w:tc>
        <w:tc>
          <w:tcPr>
            <w:tcW w:w="1700" w:type="dxa"/>
          </w:tcPr>
          <w:p w14:paraId="7CE2233C">
            <w:pPr>
              <w:pStyle w:val="63"/>
              <w:spacing w:before="99" w:line="236" w:lineRule="auto"/>
              <w:ind w:left="366"/>
              <w:rPr>
                <w:rFonts w:ascii="楷体" w:hAnsi="楷体" w:eastAsia="楷体" w:cs="楷体"/>
                <w:sz w:val="18"/>
                <w:szCs w:val="18"/>
              </w:rPr>
            </w:pPr>
            <w:r>
              <w:rPr>
                <w:rFonts w:hint="eastAsia" w:ascii="楷体" w:hAnsi="楷体" w:eastAsia="楷体" w:cs="楷体"/>
                <w:spacing w:val="7"/>
                <w:sz w:val="18"/>
                <w:szCs w:val="18"/>
              </w:rPr>
              <w:t>20≤X＜100</w:t>
            </w:r>
          </w:p>
        </w:tc>
        <w:tc>
          <w:tcPr>
            <w:tcW w:w="1026" w:type="dxa"/>
          </w:tcPr>
          <w:p w14:paraId="215939E8">
            <w:pPr>
              <w:pStyle w:val="63"/>
              <w:spacing w:before="99"/>
              <w:ind w:left="268"/>
              <w:rPr>
                <w:rFonts w:ascii="楷体" w:hAnsi="楷体" w:eastAsia="楷体" w:cs="楷体"/>
                <w:sz w:val="18"/>
                <w:szCs w:val="18"/>
              </w:rPr>
            </w:pPr>
            <w:r>
              <w:rPr>
                <w:rFonts w:hint="eastAsia" w:ascii="楷体" w:hAnsi="楷体" w:eastAsia="楷体" w:cs="楷体"/>
                <w:spacing w:val="6"/>
                <w:sz w:val="18"/>
                <w:szCs w:val="18"/>
              </w:rPr>
              <w:t>X＜20</w:t>
            </w:r>
          </w:p>
        </w:tc>
      </w:tr>
      <w:tr w14:paraId="3FD354A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4" w:hRule="atLeast"/>
        </w:trPr>
        <w:tc>
          <w:tcPr>
            <w:tcW w:w="2214" w:type="dxa"/>
            <w:vMerge w:val="continue"/>
            <w:tcBorders>
              <w:top w:val="nil"/>
            </w:tcBorders>
            <w:shd w:val="clear" w:color="auto" w:fill="auto"/>
            <w:vAlign w:val="center"/>
          </w:tcPr>
          <w:p w14:paraId="72D0C25E">
            <w:pPr>
              <w:jc w:val="center"/>
              <w:rPr>
                <w:rFonts w:ascii="楷体" w:hAnsi="楷体" w:eastAsia="楷体" w:cs="楷体"/>
                <w:sz w:val="18"/>
                <w:szCs w:val="18"/>
              </w:rPr>
            </w:pPr>
          </w:p>
        </w:tc>
        <w:tc>
          <w:tcPr>
            <w:tcW w:w="1473" w:type="dxa"/>
            <w:shd w:val="clear" w:color="auto" w:fill="B8CCE4"/>
          </w:tcPr>
          <w:p w14:paraId="18915ABB">
            <w:pPr>
              <w:pStyle w:val="63"/>
              <w:spacing w:before="111"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1693B66A">
            <w:pPr>
              <w:pStyle w:val="63"/>
              <w:spacing w:before="112"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18323A45">
            <w:pPr>
              <w:pStyle w:val="63"/>
              <w:spacing w:before="111" w:line="238" w:lineRule="auto"/>
              <w:ind w:left="211"/>
              <w:rPr>
                <w:rFonts w:ascii="楷体" w:hAnsi="楷体" w:eastAsia="楷体" w:cs="楷体"/>
                <w:sz w:val="18"/>
                <w:szCs w:val="18"/>
              </w:rPr>
            </w:pPr>
            <w:r>
              <w:rPr>
                <w:rFonts w:hint="eastAsia" w:ascii="楷体" w:hAnsi="楷体" w:eastAsia="楷体" w:cs="楷体"/>
                <w:spacing w:val="7"/>
                <w:sz w:val="18"/>
                <w:szCs w:val="18"/>
              </w:rPr>
              <w:t>Y≥30000</w:t>
            </w:r>
          </w:p>
        </w:tc>
        <w:tc>
          <w:tcPr>
            <w:tcW w:w="1825" w:type="dxa"/>
            <w:shd w:val="clear" w:color="auto" w:fill="B8CCE4"/>
          </w:tcPr>
          <w:p w14:paraId="38D7B826">
            <w:pPr>
              <w:pStyle w:val="63"/>
              <w:spacing w:before="112" w:line="236" w:lineRule="auto"/>
              <w:ind w:left="241"/>
              <w:rPr>
                <w:rFonts w:ascii="楷体" w:hAnsi="楷体" w:eastAsia="楷体" w:cs="楷体"/>
                <w:sz w:val="18"/>
                <w:szCs w:val="18"/>
              </w:rPr>
            </w:pPr>
            <w:r>
              <w:rPr>
                <w:rFonts w:hint="eastAsia" w:ascii="楷体" w:hAnsi="楷体" w:eastAsia="楷体" w:cs="楷体"/>
                <w:spacing w:val="7"/>
                <w:sz w:val="18"/>
                <w:szCs w:val="18"/>
              </w:rPr>
              <w:t>1000≤Y＜30000</w:t>
            </w:r>
          </w:p>
        </w:tc>
        <w:tc>
          <w:tcPr>
            <w:tcW w:w="1700" w:type="dxa"/>
            <w:shd w:val="clear" w:color="auto" w:fill="B8CCE4"/>
          </w:tcPr>
          <w:p w14:paraId="74969E46">
            <w:pPr>
              <w:pStyle w:val="63"/>
              <w:spacing w:before="112" w:line="236" w:lineRule="auto"/>
              <w:ind w:left="122"/>
              <w:rPr>
                <w:rFonts w:ascii="楷体" w:hAnsi="楷体" w:eastAsia="楷体" w:cs="楷体"/>
                <w:sz w:val="18"/>
                <w:szCs w:val="18"/>
              </w:rPr>
            </w:pPr>
            <w:r>
              <w:rPr>
                <w:rFonts w:hint="eastAsia" w:ascii="楷体" w:hAnsi="楷体" w:eastAsia="楷体" w:cs="楷体"/>
                <w:spacing w:val="6"/>
                <w:sz w:val="18"/>
                <w:szCs w:val="18"/>
              </w:rPr>
              <w:t>100≤Y＜1000</w:t>
            </w:r>
          </w:p>
        </w:tc>
        <w:tc>
          <w:tcPr>
            <w:tcW w:w="1026" w:type="dxa"/>
            <w:shd w:val="clear" w:color="auto" w:fill="B8CCE4"/>
          </w:tcPr>
          <w:p w14:paraId="25066101">
            <w:pPr>
              <w:pStyle w:val="63"/>
              <w:spacing w:before="111"/>
              <w:ind w:left="216"/>
              <w:rPr>
                <w:rFonts w:ascii="楷体" w:hAnsi="楷体" w:eastAsia="楷体" w:cs="楷体"/>
                <w:sz w:val="18"/>
                <w:szCs w:val="18"/>
              </w:rPr>
            </w:pPr>
            <w:r>
              <w:rPr>
                <w:rFonts w:hint="eastAsia" w:ascii="楷体" w:hAnsi="楷体" w:eastAsia="楷体" w:cs="楷体"/>
                <w:spacing w:val="7"/>
                <w:sz w:val="18"/>
                <w:szCs w:val="18"/>
              </w:rPr>
              <w:t>Y＜100</w:t>
            </w:r>
          </w:p>
        </w:tc>
      </w:tr>
      <w:tr w14:paraId="02A75FE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2214" w:type="dxa"/>
            <w:vMerge w:val="restart"/>
            <w:tcBorders>
              <w:bottom w:val="nil"/>
            </w:tcBorders>
            <w:vAlign w:val="center"/>
          </w:tcPr>
          <w:p w14:paraId="03FA24A5">
            <w:pPr>
              <w:pStyle w:val="63"/>
              <w:spacing w:line="221" w:lineRule="auto"/>
              <w:jc w:val="center"/>
              <w:rPr>
                <w:rFonts w:ascii="楷体" w:hAnsi="楷体" w:eastAsia="楷体" w:cs="楷体"/>
                <w:sz w:val="18"/>
                <w:szCs w:val="18"/>
              </w:rPr>
            </w:pPr>
            <w:r>
              <w:rPr>
                <w:rFonts w:hint="eastAsia" w:ascii="楷体" w:hAnsi="楷体" w:eastAsia="楷体" w:cs="楷体"/>
                <w:spacing w:val="3"/>
                <w:sz w:val="18"/>
                <w:szCs w:val="18"/>
              </w:rPr>
              <w:t>邮政业</w:t>
            </w:r>
          </w:p>
        </w:tc>
        <w:tc>
          <w:tcPr>
            <w:tcW w:w="1473" w:type="dxa"/>
          </w:tcPr>
          <w:p w14:paraId="1F3BA81E">
            <w:pPr>
              <w:pStyle w:val="63"/>
              <w:spacing w:before="111"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13878F64">
            <w:pPr>
              <w:pStyle w:val="63"/>
              <w:spacing w:before="111"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7A868755">
            <w:pPr>
              <w:pStyle w:val="63"/>
              <w:spacing w:before="110" w:line="238" w:lineRule="auto"/>
              <w:ind w:left="262"/>
              <w:rPr>
                <w:rFonts w:ascii="楷体" w:hAnsi="楷体" w:eastAsia="楷体" w:cs="楷体"/>
                <w:sz w:val="18"/>
                <w:szCs w:val="18"/>
              </w:rPr>
            </w:pPr>
            <w:r>
              <w:rPr>
                <w:rFonts w:hint="eastAsia" w:ascii="楷体" w:hAnsi="楷体" w:eastAsia="楷体" w:cs="楷体"/>
                <w:spacing w:val="7"/>
                <w:sz w:val="18"/>
                <w:szCs w:val="18"/>
              </w:rPr>
              <w:t>X≥1000</w:t>
            </w:r>
          </w:p>
        </w:tc>
        <w:tc>
          <w:tcPr>
            <w:tcW w:w="1825" w:type="dxa"/>
          </w:tcPr>
          <w:p w14:paraId="69BA37BE">
            <w:pPr>
              <w:pStyle w:val="63"/>
              <w:spacing w:before="111" w:line="236" w:lineRule="auto"/>
              <w:ind w:left="329"/>
              <w:rPr>
                <w:rFonts w:ascii="楷体" w:hAnsi="楷体" w:eastAsia="楷体" w:cs="楷体"/>
                <w:sz w:val="18"/>
                <w:szCs w:val="18"/>
              </w:rPr>
            </w:pPr>
            <w:r>
              <w:rPr>
                <w:rFonts w:hint="eastAsia" w:ascii="楷体" w:hAnsi="楷体" w:eastAsia="楷体" w:cs="楷体"/>
                <w:spacing w:val="7"/>
                <w:sz w:val="18"/>
                <w:szCs w:val="18"/>
              </w:rPr>
              <w:t>300≤X＜1000</w:t>
            </w:r>
          </w:p>
        </w:tc>
        <w:tc>
          <w:tcPr>
            <w:tcW w:w="1700" w:type="dxa"/>
          </w:tcPr>
          <w:p w14:paraId="7C791DCB">
            <w:pPr>
              <w:pStyle w:val="63"/>
              <w:spacing w:before="111" w:line="236" w:lineRule="auto"/>
              <w:ind w:left="366"/>
              <w:rPr>
                <w:rFonts w:ascii="楷体" w:hAnsi="楷体" w:eastAsia="楷体" w:cs="楷体"/>
                <w:sz w:val="18"/>
                <w:szCs w:val="18"/>
              </w:rPr>
            </w:pPr>
            <w:r>
              <w:rPr>
                <w:rFonts w:hint="eastAsia" w:ascii="楷体" w:hAnsi="楷体" w:eastAsia="楷体" w:cs="楷体"/>
                <w:spacing w:val="7"/>
                <w:sz w:val="18"/>
                <w:szCs w:val="18"/>
              </w:rPr>
              <w:t>20≤X＜300</w:t>
            </w:r>
          </w:p>
        </w:tc>
        <w:tc>
          <w:tcPr>
            <w:tcW w:w="1026" w:type="dxa"/>
          </w:tcPr>
          <w:p w14:paraId="2D01BD09">
            <w:pPr>
              <w:pStyle w:val="63"/>
              <w:spacing w:before="110"/>
              <w:ind w:left="268"/>
              <w:rPr>
                <w:rFonts w:ascii="楷体" w:hAnsi="楷体" w:eastAsia="楷体" w:cs="楷体"/>
                <w:sz w:val="18"/>
                <w:szCs w:val="18"/>
              </w:rPr>
            </w:pPr>
            <w:r>
              <w:rPr>
                <w:rFonts w:hint="eastAsia" w:ascii="楷体" w:hAnsi="楷体" w:eastAsia="楷体" w:cs="楷体"/>
                <w:spacing w:val="6"/>
                <w:sz w:val="18"/>
                <w:szCs w:val="18"/>
              </w:rPr>
              <w:t>X＜20</w:t>
            </w:r>
          </w:p>
        </w:tc>
      </w:tr>
      <w:tr w14:paraId="57CC14D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2214" w:type="dxa"/>
            <w:vMerge w:val="continue"/>
            <w:tcBorders>
              <w:top w:val="nil"/>
            </w:tcBorders>
            <w:shd w:val="clear" w:color="auto" w:fill="auto"/>
            <w:vAlign w:val="center"/>
          </w:tcPr>
          <w:p w14:paraId="5B373C8C">
            <w:pPr>
              <w:jc w:val="center"/>
              <w:rPr>
                <w:rFonts w:ascii="楷体" w:hAnsi="楷体" w:eastAsia="楷体" w:cs="楷体"/>
                <w:sz w:val="18"/>
                <w:szCs w:val="18"/>
              </w:rPr>
            </w:pPr>
          </w:p>
        </w:tc>
        <w:tc>
          <w:tcPr>
            <w:tcW w:w="1473" w:type="dxa"/>
            <w:shd w:val="clear" w:color="auto" w:fill="B8CCE4"/>
          </w:tcPr>
          <w:p w14:paraId="340DD118">
            <w:pPr>
              <w:pStyle w:val="63"/>
              <w:spacing w:before="96"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6C85EB89">
            <w:pPr>
              <w:pStyle w:val="63"/>
              <w:spacing w:before="97"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555A3DF6">
            <w:pPr>
              <w:pStyle w:val="63"/>
              <w:spacing w:before="96" w:line="238" w:lineRule="auto"/>
              <w:ind w:left="211"/>
              <w:rPr>
                <w:rFonts w:ascii="楷体" w:hAnsi="楷体" w:eastAsia="楷体" w:cs="楷体"/>
                <w:sz w:val="18"/>
                <w:szCs w:val="18"/>
              </w:rPr>
            </w:pPr>
            <w:r>
              <w:rPr>
                <w:rFonts w:hint="eastAsia" w:ascii="楷体" w:hAnsi="楷体" w:eastAsia="楷体" w:cs="楷体"/>
                <w:spacing w:val="7"/>
                <w:sz w:val="18"/>
                <w:szCs w:val="18"/>
              </w:rPr>
              <w:t>Y≥30000</w:t>
            </w:r>
          </w:p>
        </w:tc>
        <w:tc>
          <w:tcPr>
            <w:tcW w:w="1825" w:type="dxa"/>
            <w:shd w:val="clear" w:color="auto" w:fill="B8CCE4"/>
          </w:tcPr>
          <w:p w14:paraId="3482980A">
            <w:pPr>
              <w:pStyle w:val="63"/>
              <w:spacing w:before="96" w:line="236" w:lineRule="auto"/>
              <w:ind w:left="229"/>
              <w:rPr>
                <w:rFonts w:ascii="楷体" w:hAnsi="楷体" w:eastAsia="楷体" w:cs="楷体"/>
                <w:sz w:val="18"/>
                <w:szCs w:val="18"/>
              </w:rPr>
            </w:pPr>
            <w:r>
              <w:rPr>
                <w:rFonts w:hint="eastAsia" w:ascii="楷体" w:hAnsi="楷体" w:eastAsia="楷体" w:cs="楷体"/>
                <w:spacing w:val="7"/>
                <w:sz w:val="18"/>
                <w:szCs w:val="18"/>
              </w:rPr>
              <w:t>2000≤Y＜30000</w:t>
            </w:r>
          </w:p>
        </w:tc>
        <w:tc>
          <w:tcPr>
            <w:tcW w:w="1700" w:type="dxa"/>
            <w:shd w:val="clear" w:color="auto" w:fill="B8CCE4"/>
          </w:tcPr>
          <w:p w14:paraId="674E8F01">
            <w:pPr>
              <w:pStyle w:val="63"/>
              <w:spacing w:before="96" w:line="236" w:lineRule="auto"/>
              <w:ind w:left="278"/>
              <w:rPr>
                <w:rFonts w:ascii="楷体" w:hAnsi="楷体" w:eastAsia="楷体" w:cs="楷体"/>
                <w:sz w:val="18"/>
                <w:szCs w:val="18"/>
              </w:rPr>
            </w:pPr>
            <w:r>
              <w:rPr>
                <w:rFonts w:hint="eastAsia" w:ascii="楷体" w:hAnsi="楷体" w:eastAsia="楷体" w:cs="楷体"/>
                <w:spacing w:val="6"/>
                <w:sz w:val="18"/>
                <w:szCs w:val="18"/>
              </w:rPr>
              <w:t>100≤Y＜2000</w:t>
            </w:r>
          </w:p>
        </w:tc>
        <w:tc>
          <w:tcPr>
            <w:tcW w:w="1026" w:type="dxa"/>
            <w:shd w:val="clear" w:color="auto" w:fill="B8CCE4"/>
          </w:tcPr>
          <w:p w14:paraId="6C88BB68">
            <w:pPr>
              <w:pStyle w:val="63"/>
              <w:spacing w:before="96"/>
              <w:ind w:left="216"/>
              <w:rPr>
                <w:rFonts w:ascii="楷体" w:hAnsi="楷体" w:eastAsia="楷体" w:cs="楷体"/>
                <w:sz w:val="18"/>
                <w:szCs w:val="18"/>
              </w:rPr>
            </w:pPr>
            <w:r>
              <w:rPr>
                <w:rFonts w:hint="eastAsia" w:ascii="楷体" w:hAnsi="楷体" w:eastAsia="楷体" w:cs="楷体"/>
                <w:spacing w:val="7"/>
                <w:sz w:val="18"/>
                <w:szCs w:val="18"/>
              </w:rPr>
              <w:t>Y＜100</w:t>
            </w:r>
          </w:p>
        </w:tc>
      </w:tr>
      <w:tr w14:paraId="71A3798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2214" w:type="dxa"/>
            <w:vMerge w:val="restart"/>
            <w:tcBorders>
              <w:bottom w:val="nil"/>
            </w:tcBorders>
            <w:vAlign w:val="center"/>
          </w:tcPr>
          <w:p w14:paraId="11764A34">
            <w:pPr>
              <w:pStyle w:val="63"/>
              <w:spacing w:line="220" w:lineRule="auto"/>
              <w:jc w:val="center"/>
              <w:rPr>
                <w:rFonts w:ascii="楷体" w:hAnsi="楷体" w:eastAsia="楷体" w:cs="楷体"/>
                <w:sz w:val="18"/>
                <w:szCs w:val="18"/>
              </w:rPr>
            </w:pPr>
            <w:r>
              <w:rPr>
                <w:rFonts w:hint="eastAsia" w:ascii="楷体" w:hAnsi="楷体" w:eastAsia="楷体" w:cs="楷体"/>
                <w:spacing w:val="8"/>
                <w:sz w:val="18"/>
                <w:szCs w:val="18"/>
              </w:rPr>
              <w:t>住宿业</w:t>
            </w:r>
          </w:p>
        </w:tc>
        <w:tc>
          <w:tcPr>
            <w:tcW w:w="1473" w:type="dxa"/>
          </w:tcPr>
          <w:p w14:paraId="48DD59CE">
            <w:pPr>
              <w:pStyle w:val="63"/>
              <w:spacing w:before="104"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30A8A0C1">
            <w:pPr>
              <w:pStyle w:val="63"/>
              <w:spacing w:before="104"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0D1247A1">
            <w:pPr>
              <w:pStyle w:val="63"/>
              <w:spacing w:before="103" w:line="238" w:lineRule="auto"/>
              <w:ind w:left="310"/>
              <w:rPr>
                <w:rFonts w:ascii="楷体" w:hAnsi="楷体" w:eastAsia="楷体" w:cs="楷体"/>
                <w:sz w:val="18"/>
                <w:szCs w:val="18"/>
              </w:rPr>
            </w:pPr>
            <w:r>
              <w:rPr>
                <w:rFonts w:hint="eastAsia" w:ascii="楷体" w:hAnsi="楷体" w:eastAsia="楷体" w:cs="楷体"/>
                <w:spacing w:val="6"/>
                <w:sz w:val="18"/>
                <w:szCs w:val="18"/>
              </w:rPr>
              <w:t>X≥300</w:t>
            </w:r>
          </w:p>
        </w:tc>
        <w:tc>
          <w:tcPr>
            <w:tcW w:w="1825" w:type="dxa"/>
          </w:tcPr>
          <w:p w14:paraId="7CAC3994">
            <w:pPr>
              <w:pStyle w:val="63"/>
              <w:spacing w:before="104" w:line="236" w:lineRule="auto"/>
              <w:ind w:left="387"/>
              <w:rPr>
                <w:rFonts w:ascii="楷体" w:hAnsi="楷体" w:eastAsia="楷体" w:cs="楷体"/>
                <w:sz w:val="18"/>
                <w:szCs w:val="18"/>
              </w:rPr>
            </w:pPr>
            <w:r>
              <w:rPr>
                <w:rFonts w:hint="eastAsia" w:ascii="楷体" w:hAnsi="楷体" w:eastAsia="楷体" w:cs="楷体"/>
                <w:spacing w:val="6"/>
                <w:sz w:val="18"/>
                <w:szCs w:val="18"/>
              </w:rPr>
              <w:t>100≤X＜300</w:t>
            </w:r>
          </w:p>
        </w:tc>
        <w:tc>
          <w:tcPr>
            <w:tcW w:w="1700" w:type="dxa"/>
          </w:tcPr>
          <w:p w14:paraId="68DA783C">
            <w:pPr>
              <w:pStyle w:val="63"/>
              <w:spacing w:before="104" w:line="236" w:lineRule="auto"/>
              <w:ind w:left="377"/>
              <w:rPr>
                <w:rFonts w:ascii="楷体" w:hAnsi="楷体" w:eastAsia="楷体" w:cs="楷体"/>
                <w:sz w:val="18"/>
                <w:szCs w:val="18"/>
              </w:rPr>
            </w:pPr>
            <w:r>
              <w:rPr>
                <w:rFonts w:hint="eastAsia" w:ascii="楷体" w:hAnsi="楷体" w:eastAsia="楷体" w:cs="楷体"/>
                <w:spacing w:val="6"/>
                <w:sz w:val="18"/>
                <w:szCs w:val="18"/>
              </w:rPr>
              <w:t>10≤X＜100</w:t>
            </w:r>
          </w:p>
        </w:tc>
        <w:tc>
          <w:tcPr>
            <w:tcW w:w="1026" w:type="dxa"/>
          </w:tcPr>
          <w:p w14:paraId="329FC870">
            <w:pPr>
              <w:pStyle w:val="63"/>
              <w:spacing w:before="104"/>
              <w:ind w:left="268"/>
              <w:rPr>
                <w:rFonts w:ascii="楷体" w:hAnsi="楷体" w:eastAsia="楷体" w:cs="楷体"/>
                <w:sz w:val="18"/>
                <w:szCs w:val="18"/>
              </w:rPr>
            </w:pPr>
            <w:r>
              <w:rPr>
                <w:rFonts w:hint="eastAsia" w:ascii="楷体" w:hAnsi="楷体" w:eastAsia="楷体" w:cs="楷体"/>
                <w:spacing w:val="6"/>
                <w:sz w:val="18"/>
                <w:szCs w:val="18"/>
              </w:rPr>
              <w:t>X＜10</w:t>
            </w:r>
          </w:p>
        </w:tc>
      </w:tr>
      <w:tr w14:paraId="18753BB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6" w:hRule="atLeast"/>
        </w:trPr>
        <w:tc>
          <w:tcPr>
            <w:tcW w:w="2214" w:type="dxa"/>
            <w:vMerge w:val="continue"/>
            <w:tcBorders>
              <w:top w:val="nil"/>
            </w:tcBorders>
            <w:shd w:val="clear" w:color="auto" w:fill="auto"/>
            <w:vAlign w:val="center"/>
          </w:tcPr>
          <w:p w14:paraId="5AD8D3C7">
            <w:pPr>
              <w:jc w:val="center"/>
              <w:rPr>
                <w:rFonts w:ascii="楷体" w:hAnsi="楷体" w:eastAsia="楷体" w:cs="楷体"/>
                <w:sz w:val="18"/>
                <w:szCs w:val="18"/>
              </w:rPr>
            </w:pPr>
          </w:p>
        </w:tc>
        <w:tc>
          <w:tcPr>
            <w:tcW w:w="1473" w:type="dxa"/>
            <w:shd w:val="clear" w:color="auto" w:fill="B8CCE4"/>
          </w:tcPr>
          <w:p w14:paraId="0C96AFB3">
            <w:pPr>
              <w:pStyle w:val="63"/>
              <w:spacing w:before="111"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3FD086DB">
            <w:pPr>
              <w:pStyle w:val="63"/>
              <w:spacing w:before="112"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3300B3E1">
            <w:pPr>
              <w:pStyle w:val="63"/>
              <w:spacing w:before="111" w:line="238" w:lineRule="auto"/>
              <w:ind w:left="211"/>
              <w:rPr>
                <w:rFonts w:ascii="楷体" w:hAnsi="楷体" w:eastAsia="楷体" w:cs="楷体"/>
                <w:sz w:val="18"/>
                <w:szCs w:val="18"/>
              </w:rPr>
            </w:pPr>
            <w:r>
              <w:rPr>
                <w:rFonts w:hint="eastAsia" w:ascii="楷体" w:hAnsi="楷体" w:eastAsia="楷体" w:cs="楷体"/>
                <w:spacing w:val="7"/>
                <w:sz w:val="18"/>
                <w:szCs w:val="18"/>
              </w:rPr>
              <w:t>Y≥10000</w:t>
            </w:r>
          </w:p>
        </w:tc>
        <w:tc>
          <w:tcPr>
            <w:tcW w:w="1825" w:type="dxa"/>
            <w:shd w:val="clear" w:color="auto" w:fill="B8CCE4"/>
          </w:tcPr>
          <w:p w14:paraId="0AED8CBE">
            <w:pPr>
              <w:pStyle w:val="63"/>
              <w:spacing w:before="112" w:line="236" w:lineRule="auto"/>
              <w:ind w:left="229"/>
              <w:rPr>
                <w:rFonts w:ascii="楷体" w:hAnsi="楷体" w:eastAsia="楷体" w:cs="楷体"/>
                <w:sz w:val="18"/>
                <w:szCs w:val="18"/>
              </w:rPr>
            </w:pPr>
            <w:r>
              <w:rPr>
                <w:rFonts w:hint="eastAsia" w:ascii="楷体" w:hAnsi="楷体" w:eastAsia="楷体" w:cs="楷体"/>
                <w:spacing w:val="7"/>
                <w:sz w:val="18"/>
                <w:szCs w:val="18"/>
              </w:rPr>
              <w:t>2000≤Y＜10000</w:t>
            </w:r>
          </w:p>
        </w:tc>
        <w:tc>
          <w:tcPr>
            <w:tcW w:w="1700" w:type="dxa"/>
            <w:shd w:val="clear" w:color="auto" w:fill="B8CCE4"/>
          </w:tcPr>
          <w:p w14:paraId="7D042A78">
            <w:pPr>
              <w:pStyle w:val="63"/>
              <w:spacing w:before="112" w:line="236" w:lineRule="auto"/>
              <w:ind w:left="278"/>
              <w:rPr>
                <w:rFonts w:ascii="楷体" w:hAnsi="楷体" w:eastAsia="楷体" w:cs="楷体"/>
                <w:sz w:val="18"/>
                <w:szCs w:val="18"/>
              </w:rPr>
            </w:pPr>
            <w:r>
              <w:rPr>
                <w:rFonts w:hint="eastAsia" w:ascii="楷体" w:hAnsi="楷体" w:eastAsia="楷体" w:cs="楷体"/>
                <w:spacing w:val="6"/>
                <w:sz w:val="18"/>
                <w:szCs w:val="18"/>
              </w:rPr>
              <w:t>100≤Y＜2000</w:t>
            </w:r>
          </w:p>
        </w:tc>
        <w:tc>
          <w:tcPr>
            <w:tcW w:w="1026" w:type="dxa"/>
            <w:shd w:val="clear" w:color="auto" w:fill="B8CCE4"/>
          </w:tcPr>
          <w:p w14:paraId="02C998D0">
            <w:pPr>
              <w:pStyle w:val="63"/>
              <w:spacing w:before="112"/>
              <w:ind w:left="216"/>
              <w:rPr>
                <w:rFonts w:ascii="楷体" w:hAnsi="楷体" w:eastAsia="楷体" w:cs="楷体"/>
                <w:sz w:val="18"/>
                <w:szCs w:val="18"/>
              </w:rPr>
            </w:pPr>
            <w:r>
              <w:rPr>
                <w:rFonts w:hint="eastAsia" w:ascii="楷体" w:hAnsi="楷体" w:eastAsia="楷体" w:cs="楷体"/>
                <w:spacing w:val="7"/>
                <w:sz w:val="18"/>
                <w:szCs w:val="18"/>
              </w:rPr>
              <w:t>Y＜100</w:t>
            </w:r>
          </w:p>
        </w:tc>
      </w:tr>
      <w:tr w14:paraId="56E159F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410" w:hRule="atLeast"/>
        </w:trPr>
        <w:tc>
          <w:tcPr>
            <w:tcW w:w="2214" w:type="dxa"/>
            <w:vMerge w:val="restart"/>
            <w:tcBorders>
              <w:bottom w:val="nil"/>
            </w:tcBorders>
            <w:vAlign w:val="center"/>
          </w:tcPr>
          <w:p w14:paraId="0D3FE67D">
            <w:pPr>
              <w:pStyle w:val="63"/>
              <w:spacing w:line="220" w:lineRule="auto"/>
              <w:jc w:val="center"/>
              <w:rPr>
                <w:rFonts w:ascii="楷体" w:hAnsi="楷体" w:eastAsia="楷体" w:cs="楷体"/>
                <w:sz w:val="18"/>
                <w:szCs w:val="18"/>
              </w:rPr>
            </w:pPr>
            <w:r>
              <w:rPr>
                <w:rFonts w:hint="eastAsia" w:ascii="楷体" w:hAnsi="楷体" w:eastAsia="楷体" w:cs="楷体"/>
                <w:spacing w:val="7"/>
                <w:sz w:val="18"/>
                <w:szCs w:val="18"/>
              </w:rPr>
              <w:t>餐饮业</w:t>
            </w:r>
          </w:p>
        </w:tc>
        <w:tc>
          <w:tcPr>
            <w:tcW w:w="1473" w:type="dxa"/>
          </w:tcPr>
          <w:p w14:paraId="63AF28BF">
            <w:pPr>
              <w:pStyle w:val="63"/>
              <w:spacing w:before="119"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25DDD8CA">
            <w:pPr>
              <w:pStyle w:val="63"/>
              <w:spacing w:before="119"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6F35FD08">
            <w:pPr>
              <w:pStyle w:val="63"/>
              <w:spacing w:before="119" w:line="238" w:lineRule="auto"/>
              <w:ind w:left="310"/>
              <w:rPr>
                <w:rFonts w:ascii="楷体" w:hAnsi="楷体" w:eastAsia="楷体" w:cs="楷体"/>
                <w:sz w:val="18"/>
                <w:szCs w:val="18"/>
              </w:rPr>
            </w:pPr>
            <w:r>
              <w:rPr>
                <w:rFonts w:hint="eastAsia" w:ascii="楷体" w:hAnsi="楷体" w:eastAsia="楷体" w:cs="楷体"/>
                <w:spacing w:val="6"/>
                <w:sz w:val="18"/>
                <w:szCs w:val="18"/>
              </w:rPr>
              <w:t>X≥300</w:t>
            </w:r>
          </w:p>
        </w:tc>
        <w:tc>
          <w:tcPr>
            <w:tcW w:w="1825" w:type="dxa"/>
          </w:tcPr>
          <w:p w14:paraId="0B63C453">
            <w:pPr>
              <w:pStyle w:val="63"/>
              <w:spacing w:before="119" w:line="236" w:lineRule="auto"/>
              <w:ind w:left="387"/>
              <w:rPr>
                <w:rFonts w:ascii="楷体" w:hAnsi="楷体" w:eastAsia="楷体" w:cs="楷体"/>
                <w:sz w:val="18"/>
                <w:szCs w:val="18"/>
              </w:rPr>
            </w:pPr>
            <w:r>
              <w:rPr>
                <w:rFonts w:hint="eastAsia" w:ascii="楷体" w:hAnsi="楷体" w:eastAsia="楷体" w:cs="楷体"/>
                <w:spacing w:val="6"/>
                <w:sz w:val="18"/>
                <w:szCs w:val="18"/>
              </w:rPr>
              <w:t>100≤X＜300</w:t>
            </w:r>
          </w:p>
        </w:tc>
        <w:tc>
          <w:tcPr>
            <w:tcW w:w="1700" w:type="dxa"/>
          </w:tcPr>
          <w:p w14:paraId="42D481AF">
            <w:pPr>
              <w:pStyle w:val="63"/>
              <w:spacing w:before="119" w:line="236" w:lineRule="auto"/>
              <w:ind w:left="377"/>
              <w:rPr>
                <w:rFonts w:ascii="楷体" w:hAnsi="楷体" w:eastAsia="楷体" w:cs="楷体"/>
                <w:sz w:val="18"/>
                <w:szCs w:val="18"/>
              </w:rPr>
            </w:pPr>
            <w:r>
              <w:rPr>
                <w:rFonts w:hint="eastAsia" w:ascii="楷体" w:hAnsi="楷体" w:eastAsia="楷体" w:cs="楷体"/>
                <w:spacing w:val="6"/>
                <w:sz w:val="18"/>
                <w:szCs w:val="18"/>
              </w:rPr>
              <w:t>10≤X＜100</w:t>
            </w:r>
          </w:p>
        </w:tc>
        <w:tc>
          <w:tcPr>
            <w:tcW w:w="1026" w:type="dxa"/>
          </w:tcPr>
          <w:p w14:paraId="20F7E80F">
            <w:pPr>
              <w:pStyle w:val="63"/>
              <w:spacing w:before="119"/>
              <w:ind w:left="268"/>
              <w:rPr>
                <w:rFonts w:ascii="楷体" w:hAnsi="楷体" w:eastAsia="楷体" w:cs="楷体"/>
                <w:sz w:val="18"/>
                <w:szCs w:val="18"/>
              </w:rPr>
            </w:pPr>
            <w:r>
              <w:rPr>
                <w:rFonts w:hint="eastAsia" w:ascii="楷体" w:hAnsi="楷体" w:eastAsia="楷体" w:cs="楷体"/>
                <w:spacing w:val="6"/>
                <w:sz w:val="18"/>
                <w:szCs w:val="18"/>
              </w:rPr>
              <w:t>X＜10</w:t>
            </w:r>
          </w:p>
        </w:tc>
      </w:tr>
      <w:tr w14:paraId="453C030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8" w:hRule="atLeast"/>
        </w:trPr>
        <w:tc>
          <w:tcPr>
            <w:tcW w:w="2214" w:type="dxa"/>
            <w:vMerge w:val="continue"/>
            <w:tcBorders>
              <w:top w:val="nil"/>
            </w:tcBorders>
            <w:shd w:val="clear" w:color="auto" w:fill="auto"/>
            <w:vAlign w:val="center"/>
          </w:tcPr>
          <w:p w14:paraId="2C13D27A">
            <w:pPr>
              <w:jc w:val="center"/>
              <w:rPr>
                <w:rFonts w:ascii="楷体" w:hAnsi="楷体" w:eastAsia="楷体" w:cs="楷体"/>
                <w:sz w:val="18"/>
                <w:szCs w:val="18"/>
              </w:rPr>
            </w:pPr>
          </w:p>
        </w:tc>
        <w:tc>
          <w:tcPr>
            <w:tcW w:w="1473" w:type="dxa"/>
            <w:shd w:val="clear" w:color="auto" w:fill="B8CCE4"/>
          </w:tcPr>
          <w:p w14:paraId="63B2D68D">
            <w:pPr>
              <w:pStyle w:val="63"/>
              <w:spacing w:before="104"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68E3904A">
            <w:pPr>
              <w:pStyle w:val="63"/>
              <w:spacing w:before="105"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79C8A8F8">
            <w:pPr>
              <w:pStyle w:val="63"/>
              <w:spacing w:before="104" w:line="238" w:lineRule="auto"/>
              <w:ind w:left="211"/>
              <w:rPr>
                <w:rFonts w:ascii="楷体" w:hAnsi="楷体" w:eastAsia="楷体" w:cs="楷体"/>
                <w:sz w:val="18"/>
                <w:szCs w:val="18"/>
              </w:rPr>
            </w:pPr>
            <w:r>
              <w:rPr>
                <w:rFonts w:hint="eastAsia" w:ascii="楷体" w:hAnsi="楷体" w:eastAsia="楷体" w:cs="楷体"/>
                <w:spacing w:val="7"/>
                <w:sz w:val="18"/>
                <w:szCs w:val="18"/>
              </w:rPr>
              <w:t>Y≥10000</w:t>
            </w:r>
          </w:p>
        </w:tc>
        <w:tc>
          <w:tcPr>
            <w:tcW w:w="1825" w:type="dxa"/>
            <w:shd w:val="clear" w:color="auto" w:fill="B8CCE4"/>
          </w:tcPr>
          <w:p w14:paraId="3D4854F2">
            <w:pPr>
              <w:pStyle w:val="63"/>
              <w:spacing w:before="105" w:line="236" w:lineRule="auto"/>
              <w:ind w:left="229"/>
              <w:rPr>
                <w:rFonts w:ascii="楷体" w:hAnsi="楷体" w:eastAsia="楷体" w:cs="楷体"/>
                <w:sz w:val="18"/>
                <w:szCs w:val="18"/>
              </w:rPr>
            </w:pPr>
            <w:r>
              <w:rPr>
                <w:rFonts w:hint="eastAsia" w:ascii="楷体" w:hAnsi="楷体" w:eastAsia="楷体" w:cs="楷体"/>
                <w:spacing w:val="7"/>
                <w:sz w:val="18"/>
                <w:szCs w:val="18"/>
              </w:rPr>
              <w:t>2000≤Y＜10000</w:t>
            </w:r>
          </w:p>
        </w:tc>
        <w:tc>
          <w:tcPr>
            <w:tcW w:w="1700" w:type="dxa"/>
            <w:shd w:val="clear" w:color="auto" w:fill="B8CCE4"/>
          </w:tcPr>
          <w:p w14:paraId="3B1965E3">
            <w:pPr>
              <w:pStyle w:val="63"/>
              <w:spacing w:before="105" w:line="236" w:lineRule="auto"/>
              <w:ind w:left="278"/>
              <w:rPr>
                <w:rFonts w:ascii="楷体" w:hAnsi="楷体" w:eastAsia="楷体" w:cs="楷体"/>
                <w:sz w:val="18"/>
                <w:szCs w:val="18"/>
              </w:rPr>
            </w:pPr>
            <w:r>
              <w:rPr>
                <w:rFonts w:hint="eastAsia" w:ascii="楷体" w:hAnsi="楷体" w:eastAsia="楷体" w:cs="楷体"/>
                <w:spacing w:val="6"/>
                <w:sz w:val="18"/>
                <w:szCs w:val="18"/>
              </w:rPr>
              <w:t>100≤Y＜2000</w:t>
            </w:r>
          </w:p>
        </w:tc>
        <w:tc>
          <w:tcPr>
            <w:tcW w:w="1026" w:type="dxa"/>
            <w:shd w:val="clear" w:color="auto" w:fill="B8CCE4"/>
          </w:tcPr>
          <w:p w14:paraId="49FD7106">
            <w:pPr>
              <w:pStyle w:val="63"/>
              <w:spacing w:before="104"/>
              <w:ind w:left="216"/>
              <w:rPr>
                <w:rFonts w:ascii="楷体" w:hAnsi="楷体" w:eastAsia="楷体" w:cs="楷体"/>
                <w:sz w:val="18"/>
                <w:szCs w:val="18"/>
              </w:rPr>
            </w:pPr>
            <w:r>
              <w:rPr>
                <w:rFonts w:hint="eastAsia" w:ascii="楷体" w:hAnsi="楷体" w:eastAsia="楷体" w:cs="楷体"/>
                <w:spacing w:val="7"/>
                <w:sz w:val="18"/>
                <w:szCs w:val="18"/>
              </w:rPr>
              <w:t>Y＜100</w:t>
            </w:r>
          </w:p>
        </w:tc>
      </w:tr>
      <w:tr w14:paraId="499FC3C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7" w:hRule="atLeast"/>
        </w:trPr>
        <w:tc>
          <w:tcPr>
            <w:tcW w:w="2214" w:type="dxa"/>
            <w:vMerge w:val="restart"/>
            <w:tcBorders>
              <w:bottom w:val="nil"/>
            </w:tcBorders>
            <w:vAlign w:val="center"/>
          </w:tcPr>
          <w:p w14:paraId="0DC5613B">
            <w:pPr>
              <w:pStyle w:val="63"/>
              <w:spacing w:line="219" w:lineRule="auto"/>
              <w:jc w:val="center"/>
              <w:rPr>
                <w:rFonts w:ascii="楷体" w:hAnsi="楷体" w:eastAsia="楷体" w:cs="楷体"/>
                <w:sz w:val="18"/>
                <w:szCs w:val="18"/>
              </w:rPr>
            </w:pPr>
            <w:r>
              <w:rPr>
                <w:rFonts w:hint="eastAsia" w:ascii="楷体" w:hAnsi="楷体" w:eastAsia="楷体" w:cs="楷体"/>
                <w:spacing w:val="9"/>
                <w:sz w:val="18"/>
                <w:szCs w:val="18"/>
              </w:rPr>
              <w:t>信息传输业</w:t>
            </w:r>
          </w:p>
        </w:tc>
        <w:tc>
          <w:tcPr>
            <w:tcW w:w="1473" w:type="dxa"/>
          </w:tcPr>
          <w:p w14:paraId="7243808F">
            <w:pPr>
              <w:pStyle w:val="63"/>
              <w:spacing w:before="113"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711C22DA">
            <w:pPr>
              <w:pStyle w:val="63"/>
              <w:spacing w:before="113"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17CB4491">
            <w:pPr>
              <w:pStyle w:val="63"/>
              <w:spacing w:before="112" w:line="238" w:lineRule="auto"/>
              <w:ind w:left="262"/>
              <w:rPr>
                <w:rFonts w:ascii="楷体" w:hAnsi="楷体" w:eastAsia="楷体" w:cs="楷体"/>
                <w:sz w:val="18"/>
                <w:szCs w:val="18"/>
              </w:rPr>
            </w:pPr>
            <w:r>
              <w:rPr>
                <w:rFonts w:hint="eastAsia" w:ascii="楷体" w:hAnsi="楷体" w:eastAsia="楷体" w:cs="楷体"/>
                <w:spacing w:val="7"/>
                <w:sz w:val="18"/>
                <w:szCs w:val="18"/>
              </w:rPr>
              <w:t>X≥2000</w:t>
            </w:r>
          </w:p>
        </w:tc>
        <w:tc>
          <w:tcPr>
            <w:tcW w:w="1825" w:type="dxa"/>
          </w:tcPr>
          <w:p w14:paraId="3DEC2696">
            <w:pPr>
              <w:pStyle w:val="63"/>
              <w:spacing w:before="112" w:line="236" w:lineRule="auto"/>
              <w:ind w:left="339"/>
              <w:rPr>
                <w:rFonts w:ascii="楷体" w:hAnsi="楷体" w:eastAsia="楷体" w:cs="楷体"/>
                <w:sz w:val="18"/>
                <w:szCs w:val="18"/>
              </w:rPr>
            </w:pPr>
            <w:r>
              <w:rPr>
                <w:rFonts w:hint="eastAsia" w:ascii="楷体" w:hAnsi="楷体" w:eastAsia="楷体" w:cs="楷体"/>
                <w:spacing w:val="6"/>
                <w:sz w:val="18"/>
                <w:szCs w:val="18"/>
              </w:rPr>
              <w:t>100≤X＜2000</w:t>
            </w:r>
          </w:p>
        </w:tc>
        <w:tc>
          <w:tcPr>
            <w:tcW w:w="1700" w:type="dxa"/>
          </w:tcPr>
          <w:p w14:paraId="23215420">
            <w:pPr>
              <w:pStyle w:val="63"/>
              <w:spacing w:before="112" w:line="236" w:lineRule="auto"/>
              <w:ind w:left="377"/>
              <w:rPr>
                <w:rFonts w:ascii="楷体" w:hAnsi="楷体" w:eastAsia="楷体" w:cs="楷体"/>
                <w:sz w:val="18"/>
                <w:szCs w:val="18"/>
              </w:rPr>
            </w:pPr>
            <w:r>
              <w:rPr>
                <w:rFonts w:hint="eastAsia" w:ascii="楷体" w:hAnsi="楷体" w:eastAsia="楷体" w:cs="楷体"/>
                <w:spacing w:val="6"/>
                <w:sz w:val="18"/>
                <w:szCs w:val="18"/>
              </w:rPr>
              <w:t>10≤X＜100</w:t>
            </w:r>
          </w:p>
        </w:tc>
        <w:tc>
          <w:tcPr>
            <w:tcW w:w="1026" w:type="dxa"/>
          </w:tcPr>
          <w:p w14:paraId="229A5DF8">
            <w:pPr>
              <w:pStyle w:val="63"/>
              <w:spacing w:before="112"/>
              <w:ind w:left="268"/>
              <w:rPr>
                <w:rFonts w:ascii="楷体" w:hAnsi="楷体" w:eastAsia="楷体" w:cs="楷体"/>
                <w:sz w:val="18"/>
                <w:szCs w:val="18"/>
              </w:rPr>
            </w:pPr>
            <w:r>
              <w:rPr>
                <w:rFonts w:hint="eastAsia" w:ascii="楷体" w:hAnsi="楷体" w:eastAsia="楷体" w:cs="楷体"/>
                <w:spacing w:val="6"/>
                <w:sz w:val="18"/>
                <w:szCs w:val="18"/>
              </w:rPr>
              <w:t>X＜10</w:t>
            </w:r>
          </w:p>
        </w:tc>
      </w:tr>
      <w:tr w14:paraId="35F654F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86" w:hRule="atLeast"/>
        </w:trPr>
        <w:tc>
          <w:tcPr>
            <w:tcW w:w="2214" w:type="dxa"/>
            <w:vMerge w:val="continue"/>
            <w:tcBorders>
              <w:top w:val="nil"/>
            </w:tcBorders>
            <w:shd w:val="clear" w:color="auto" w:fill="auto"/>
            <w:vAlign w:val="center"/>
          </w:tcPr>
          <w:p w14:paraId="70E60A4B">
            <w:pPr>
              <w:jc w:val="center"/>
              <w:rPr>
                <w:rFonts w:ascii="楷体" w:hAnsi="楷体" w:eastAsia="楷体" w:cs="楷体"/>
                <w:sz w:val="18"/>
                <w:szCs w:val="18"/>
              </w:rPr>
            </w:pPr>
          </w:p>
        </w:tc>
        <w:tc>
          <w:tcPr>
            <w:tcW w:w="1473" w:type="dxa"/>
            <w:shd w:val="clear" w:color="auto" w:fill="B8CCE4"/>
          </w:tcPr>
          <w:p w14:paraId="35C8525D">
            <w:pPr>
              <w:pStyle w:val="63"/>
              <w:spacing w:before="120"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55DECA51">
            <w:pPr>
              <w:pStyle w:val="63"/>
              <w:spacing w:before="121"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12DF612D">
            <w:pPr>
              <w:pStyle w:val="63"/>
              <w:spacing w:before="120" w:line="238" w:lineRule="auto"/>
              <w:ind w:left="163"/>
              <w:rPr>
                <w:rFonts w:ascii="楷体" w:hAnsi="楷体" w:eastAsia="楷体" w:cs="楷体"/>
                <w:sz w:val="18"/>
                <w:szCs w:val="18"/>
              </w:rPr>
            </w:pPr>
            <w:r>
              <w:rPr>
                <w:rFonts w:hint="eastAsia" w:ascii="楷体" w:hAnsi="楷体" w:eastAsia="楷体" w:cs="楷体"/>
                <w:spacing w:val="7"/>
                <w:sz w:val="18"/>
                <w:szCs w:val="18"/>
              </w:rPr>
              <w:t>Y≥100000</w:t>
            </w:r>
          </w:p>
        </w:tc>
        <w:tc>
          <w:tcPr>
            <w:tcW w:w="1825" w:type="dxa"/>
            <w:shd w:val="clear" w:color="auto" w:fill="B8CCE4"/>
          </w:tcPr>
          <w:p w14:paraId="1394EB9F">
            <w:pPr>
              <w:pStyle w:val="63"/>
              <w:spacing w:before="121" w:line="236" w:lineRule="auto"/>
              <w:ind w:left="190"/>
              <w:rPr>
                <w:rFonts w:ascii="楷体" w:hAnsi="楷体" w:eastAsia="楷体" w:cs="楷体"/>
                <w:sz w:val="18"/>
                <w:szCs w:val="18"/>
              </w:rPr>
            </w:pPr>
            <w:r>
              <w:rPr>
                <w:rFonts w:hint="eastAsia" w:ascii="楷体" w:hAnsi="楷体" w:eastAsia="楷体" w:cs="楷体"/>
                <w:spacing w:val="7"/>
                <w:sz w:val="18"/>
                <w:szCs w:val="18"/>
              </w:rPr>
              <w:t>1000≤Y＜100000</w:t>
            </w:r>
          </w:p>
        </w:tc>
        <w:tc>
          <w:tcPr>
            <w:tcW w:w="1700" w:type="dxa"/>
            <w:shd w:val="clear" w:color="auto" w:fill="B8CCE4"/>
          </w:tcPr>
          <w:p w14:paraId="1F873AEE">
            <w:pPr>
              <w:pStyle w:val="63"/>
              <w:spacing w:before="121" w:line="236" w:lineRule="auto"/>
              <w:ind w:left="122"/>
              <w:rPr>
                <w:rFonts w:ascii="楷体" w:hAnsi="楷体" w:eastAsia="楷体" w:cs="楷体"/>
                <w:sz w:val="18"/>
                <w:szCs w:val="18"/>
              </w:rPr>
            </w:pPr>
            <w:r>
              <w:rPr>
                <w:rFonts w:hint="eastAsia" w:ascii="楷体" w:hAnsi="楷体" w:eastAsia="楷体" w:cs="楷体"/>
                <w:spacing w:val="6"/>
                <w:sz w:val="18"/>
                <w:szCs w:val="18"/>
              </w:rPr>
              <w:t>100≤Y＜1000</w:t>
            </w:r>
          </w:p>
        </w:tc>
        <w:tc>
          <w:tcPr>
            <w:tcW w:w="1026" w:type="dxa"/>
            <w:shd w:val="clear" w:color="auto" w:fill="B8CCE4"/>
          </w:tcPr>
          <w:p w14:paraId="16630E58">
            <w:pPr>
              <w:pStyle w:val="63"/>
              <w:spacing w:before="121"/>
              <w:ind w:left="216"/>
              <w:rPr>
                <w:rFonts w:ascii="楷体" w:hAnsi="楷体" w:eastAsia="楷体" w:cs="楷体"/>
                <w:sz w:val="18"/>
                <w:szCs w:val="18"/>
              </w:rPr>
            </w:pPr>
            <w:r>
              <w:rPr>
                <w:rFonts w:hint="eastAsia" w:ascii="楷体" w:hAnsi="楷体" w:eastAsia="楷体" w:cs="楷体"/>
                <w:spacing w:val="7"/>
                <w:sz w:val="18"/>
                <w:szCs w:val="18"/>
              </w:rPr>
              <w:t>Y＜100</w:t>
            </w:r>
          </w:p>
        </w:tc>
      </w:tr>
      <w:tr w14:paraId="7E87EA7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7" w:hRule="atLeast"/>
        </w:trPr>
        <w:tc>
          <w:tcPr>
            <w:tcW w:w="2214" w:type="dxa"/>
            <w:vMerge w:val="restart"/>
            <w:tcBorders>
              <w:bottom w:val="nil"/>
            </w:tcBorders>
            <w:vAlign w:val="center"/>
          </w:tcPr>
          <w:p w14:paraId="573B3BAA">
            <w:pPr>
              <w:pStyle w:val="63"/>
              <w:spacing w:line="270" w:lineRule="auto"/>
              <w:jc w:val="center"/>
              <w:rPr>
                <w:rFonts w:ascii="楷体" w:hAnsi="楷体" w:eastAsia="楷体" w:cs="楷体"/>
                <w:sz w:val="18"/>
                <w:szCs w:val="18"/>
              </w:rPr>
            </w:pPr>
            <w:r>
              <w:rPr>
                <w:rFonts w:hint="eastAsia" w:ascii="楷体" w:hAnsi="楷体" w:eastAsia="楷体" w:cs="楷体"/>
                <w:spacing w:val="-14"/>
                <w:w w:val="92"/>
                <w:sz w:val="18"/>
                <w:szCs w:val="18"/>
              </w:rPr>
              <w:t>软件和信息技术服</w:t>
            </w:r>
            <w:r>
              <w:rPr>
                <w:rFonts w:hint="eastAsia" w:ascii="楷体" w:hAnsi="楷体" w:eastAsia="楷体" w:cs="楷体"/>
                <w:spacing w:val="2"/>
                <w:sz w:val="18"/>
                <w:szCs w:val="18"/>
              </w:rPr>
              <w:t>务业</w:t>
            </w:r>
          </w:p>
        </w:tc>
        <w:tc>
          <w:tcPr>
            <w:tcW w:w="1473" w:type="dxa"/>
          </w:tcPr>
          <w:p w14:paraId="1DC757FC">
            <w:pPr>
              <w:pStyle w:val="63"/>
              <w:spacing w:before="107"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61EE0DE0">
            <w:pPr>
              <w:pStyle w:val="63"/>
              <w:spacing w:before="107"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233401DF">
            <w:pPr>
              <w:pStyle w:val="63"/>
              <w:spacing w:before="106" w:line="236" w:lineRule="auto"/>
              <w:ind w:left="310"/>
              <w:rPr>
                <w:rFonts w:ascii="楷体" w:hAnsi="楷体" w:eastAsia="楷体" w:cs="楷体"/>
                <w:sz w:val="18"/>
                <w:szCs w:val="18"/>
              </w:rPr>
            </w:pPr>
            <w:r>
              <w:rPr>
                <w:rFonts w:hint="eastAsia" w:ascii="楷体" w:hAnsi="楷体" w:eastAsia="楷体" w:cs="楷体"/>
                <w:spacing w:val="6"/>
                <w:sz w:val="18"/>
                <w:szCs w:val="18"/>
              </w:rPr>
              <w:t>X≥300</w:t>
            </w:r>
          </w:p>
        </w:tc>
        <w:tc>
          <w:tcPr>
            <w:tcW w:w="1825" w:type="dxa"/>
          </w:tcPr>
          <w:p w14:paraId="6AD5A0EE">
            <w:pPr>
              <w:pStyle w:val="63"/>
              <w:spacing w:before="106" w:line="236" w:lineRule="auto"/>
              <w:ind w:left="387"/>
              <w:rPr>
                <w:rFonts w:ascii="楷体" w:hAnsi="楷体" w:eastAsia="楷体" w:cs="楷体"/>
                <w:sz w:val="18"/>
                <w:szCs w:val="18"/>
              </w:rPr>
            </w:pPr>
            <w:r>
              <w:rPr>
                <w:rFonts w:hint="eastAsia" w:ascii="楷体" w:hAnsi="楷体" w:eastAsia="楷体" w:cs="楷体"/>
                <w:spacing w:val="6"/>
                <w:sz w:val="18"/>
                <w:szCs w:val="18"/>
              </w:rPr>
              <w:t>100≤X＜300</w:t>
            </w:r>
          </w:p>
        </w:tc>
        <w:tc>
          <w:tcPr>
            <w:tcW w:w="1700" w:type="dxa"/>
          </w:tcPr>
          <w:p w14:paraId="4826891F">
            <w:pPr>
              <w:pStyle w:val="63"/>
              <w:spacing w:before="106" w:line="236" w:lineRule="auto"/>
              <w:ind w:left="377"/>
              <w:rPr>
                <w:rFonts w:ascii="楷体" w:hAnsi="楷体" w:eastAsia="楷体" w:cs="楷体"/>
                <w:sz w:val="18"/>
                <w:szCs w:val="18"/>
              </w:rPr>
            </w:pPr>
            <w:r>
              <w:rPr>
                <w:rFonts w:hint="eastAsia" w:ascii="楷体" w:hAnsi="楷体" w:eastAsia="楷体" w:cs="楷体"/>
                <w:spacing w:val="6"/>
                <w:sz w:val="18"/>
                <w:szCs w:val="18"/>
              </w:rPr>
              <w:t>10≤X＜100</w:t>
            </w:r>
          </w:p>
        </w:tc>
        <w:tc>
          <w:tcPr>
            <w:tcW w:w="1026" w:type="dxa"/>
          </w:tcPr>
          <w:p w14:paraId="5BC9E99F">
            <w:pPr>
              <w:pStyle w:val="63"/>
              <w:spacing w:before="106" w:line="236" w:lineRule="auto"/>
              <w:ind w:left="268"/>
              <w:rPr>
                <w:rFonts w:ascii="楷体" w:hAnsi="楷体" w:eastAsia="楷体" w:cs="楷体"/>
                <w:sz w:val="18"/>
                <w:szCs w:val="18"/>
              </w:rPr>
            </w:pPr>
            <w:r>
              <w:rPr>
                <w:rFonts w:hint="eastAsia" w:ascii="楷体" w:hAnsi="楷体" w:eastAsia="楷体" w:cs="楷体"/>
                <w:spacing w:val="6"/>
                <w:sz w:val="18"/>
                <w:szCs w:val="18"/>
              </w:rPr>
              <w:t>X＜10</w:t>
            </w:r>
          </w:p>
        </w:tc>
      </w:tr>
      <w:tr w14:paraId="24FF951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trPr>
        <w:tc>
          <w:tcPr>
            <w:tcW w:w="2214" w:type="dxa"/>
            <w:vMerge w:val="continue"/>
            <w:tcBorders>
              <w:top w:val="nil"/>
            </w:tcBorders>
            <w:shd w:val="clear" w:color="auto" w:fill="auto"/>
            <w:vAlign w:val="center"/>
          </w:tcPr>
          <w:p w14:paraId="4EA6CCB4">
            <w:pPr>
              <w:jc w:val="center"/>
              <w:rPr>
                <w:rFonts w:ascii="楷体" w:hAnsi="楷体" w:eastAsia="楷体" w:cs="楷体"/>
                <w:sz w:val="18"/>
                <w:szCs w:val="18"/>
              </w:rPr>
            </w:pPr>
          </w:p>
        </w:tc>
        <w:tc>
          <w:tcPr>
            <w:tcW w:w="1473" w:type="dxa"/>
            <w:shd w:val="clear" w:color="auto" w:fill="B8CCE4"/>
          </w:tcPr>
          <w:p w14:paraId="257C4015">
            <w:pPr>
              <w:pStyle w:val="63"/>
              <w:spacing w:before="109"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361E6A8B">
            <w:pPr>
              <w:pStyle w:val="63"/>
              <w:spacing w:before="110"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35926AE8">
            <w:pPr>
              <w:pStyle w:val="63"/>
              <w:spacing w:before="109" w:line="235" w:lineRule="auto"/>
              <w:ind w:left="211"/>
              <w:rPr>
                <w:rFonts w:ascii="楷体" w:hAnsi="楷体" w:eastAsia="楷体" w:cs="楷体"/>
                <w:sz w:val="18"/>
                <w:szCs w:val="18"/>
              </w:rPr>
            </w:pPr>
            <w:r>
              <w:rPr>
                <w:rFonts w:hint="eastAsia" w:ascii="楷体" w:hAnsi="楷体" w:eastAsia="楷体" w:cs="楷体"/>
                <w:spacing w:val="7"/>
                <w:sz w:val="18"/>
                <w:szCs w:val="18"/>
              </w:rPr>
              <w:t>Y≥10000</w:t>
            </w:r>
          </w:p>
        </w:tc>
        <w:tc>
          <w:tcPr>
            <w:tcW w:w="1825" w:type="dxa"/>
            <w:shd w:val="clear" w:color="auto" w:fill="B8CCE4"/>
          </w:tcPr>
          <w:p w14:paraId="50A6FB59">
            <w:pPr>
              <w:pStyle w:val="63"/>
              <w:spacing w:before="109" w:line="235" w:lineRule="auto"/>
              <w:ind w:left="241"/>
              <w:rPr>
                <w:rFonts w:ascii="楷体" w:hAnsi="楷体" w:eastAsia="楷体" w:cs="楷体"/>
                <w:sz w:val="18"/>
                <w:szCs w:val="18"/>
              </w:rPr>
            </w:pPr>
            <w:r>
              <w:rPr>
                <w:rFonts w:hint="eastAsia" w:ascii="楷体" w:hAnsi="楷体" w:eastAsia="楷体" w:cs="楷体"/>
                <w:spacing w:val="7"/>
                <w:sz w:val="18"/>
                <w:szCs w:val="18"/>
              </w:rPr>
              <w:t>1000≤Y＜10000</w:t>
            </w:r>
          </w:p>
        </w:tc>
        <w:tc>
          <w:tcPr>
            <w:tcW w:w="1700" w:type="dxa"/>
            <w:shd w:val="clear" w:color="auto" w:fill="B8CCE4"/>
          </w:tcPr>
          <w:p w14:paraId="7676CBFC">
            <w:pPr>
              <w:pStyle w:val="63"/>
              <w:spacing w:before="109" w:line="235" w:lineRule="auto"/>
              <w:ind w:left="319"/>
              <w:rPr>
                <w:rFonts w:ascii="楷体" w:hAnsi="楷体" w:eastAsia="楷体" w:cs="楷体"/>
                <w:sz w:val="18"/>
                <w:szCs w:val="18"/>
              </w:rPr>
            </w:pPr>
            <w:r>
              <w:rPr>
                <w:rFonts w:hint="eastAsia" w:ascii="楷体" w:hAnsi="楷体" w:eastAsia="楷体" w:cs="楷体"/>
                <w:spacing w:val="7"/>
                <w:sz w:val="18"/>
                <w:szCs w:val="18"/>
              </w:rPr>
              <w:t>50≤Y＜1000</w:t>
            </w:r>
          </w:p>
        </w:tc>
        <w:tc>
          <w:tcPr>
            <w:tcW w:w="1026" w:type="dxa"/>
            <w:shd w:val="clear" w:color="auto" w:fill="B8CCE4"/>
          </w:tcPr>
          <w:p w14:paraId="66F7ECA4">
            <w:pPr>
              <w:pStyle w:val="63"/>
              <w:spacing w:before="109" w:line="235" w:lineRule="auto"/>
              <w:ind w:left="267"/>
              <w:rPr>
                <w:rFonts w:ascii="楷体" w:hAnsi="楷体" w:eastAsia="楷体" w:cs="楷体"/>
                <w:sz w:val="18"/>
                <w:szCs w:val="18"/>
              </w:rPr>
            </w:pPr>
            <w:r>
              <w:rPr>
                <w:rFonts w:hint="eastAsia" w:ascii="楷体" w:hAnsi="楷体" w:eastAsia="楷体" w:cs="楷体"/>
                <w:spacing w:val="6"/>
                <w:sz w:val="18"/>
                <w:szCs w:val="18"/>
              </w:rPr>
              <w:t>Y＜50</w:t>
            </w:r>
          </w:p>
        </w:tc>
      </w:tr>
      <w:tr w14:paraId="2962919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7" w:hRule="atLeast"/>
        </w:trPr>
        <w:tc>
          <w:tcPr>
            <w:tcW w:w="2214" w:type="dxa"/>
            <w:vMerge w:val="restart"/>
            <w:tcBorders>
              <w:bottom w:val="nil"/>
            </w:tcBorders>
            <w:vAlign w:val="center"/>
          </w:tcPr>
          <w:p w14:paraId="5127D050">
            <w:pPr>
              <w:pStyle w:val="63"/>
              <w:spacing w:line="270" w:lineRule="auto"/>
              <w:jc w:val="center"/>
              <w:rPr>
                <w:rFonts w:ascii="楷体" w:hAnsi="楷体" w:eastAsia="楷体" w:cs="楷体"/>
                <w:sz w:val="18"/>
                <w:szCs w:val="18"/>
              </w:rPr>
            </w:pPr>
            <w:r>
              <w:rPr>
                <w:rFonts w:hint="eastAsia" w:ascii="楷体" w:hAnsi="楷体" w:eastAsia="楷体" w:cs="楷体"/>
                <w:spacing w:val="11"/>
                <w:sz w:val="18"/>
                <w:szCs w:val="18"/>
              </w:rPr>
              <w:t>房地产开发经</w:t>
            </w:r>
            <w:r>
              <w:rPr>
                <w:rFonts w:hint="eastAsia" w:ascii="楷体" w:hAnsi="楷体" w:eastAsia="楷体" w:cs="楷体"/>
                <w:sz w:val="18"/>
                <w:szCs w:val="18"/>
              </w:rPr>
              <w:t>营</w:t>
            </w:r>
          </w:p>
        </w:tc>
        <w:tc>
          <w:tcPr>
            <w:tcW w:w="1473" w:type="dxa"/>
          </w:tcPr>
          <w:p w14:paraId="25EEDFF7">
            <w:pPr>
              <w:pStyle w:val="63"/>
              <w:spacing w:before="110"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tcPr>
          <w:p w14:paraId="3932D5F1">
            <w:pPr>
              <w:pStyle w:val="63"/>
              <w:spacing w:before="111"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tcPr>
          <w:p w14:paraId="1BE34979">
            <w:pPr>
              <w:pStyle w:val="63"/>
              <w:spacing w:before="110" w:line="232" w:lineRule="auto"/>
              <w:ind w:left="163"/>
              <w:rPr>
                <w:rFonts w:ascii="楷体" w:hAnsi="楷体" w:eastAsia="楷体" w:cs="楷体"/>
                <w:sz w:val="18"/>
                <w:szCs w:val="18"/>
              </w:rPr>
            </w:pPr>
            <w:r>
              <w:rPr>
                <w:rFonts w:hint="eastAsia" w:ascii="楷体" w:hAnsi="楷体" w:eastAsia="楷体" w:cs="楷体"/>
                <w:spacing w:val="7"/>
                <w:sz w:val="18"/>
                <w:szCs w:val="18"/>
              </w:rPr>
              <w:t>Y≥200000</w:t>
            </w:r>
          </w:p>
        </w:tc>
        <w:tc>
          <w:tcPr>
            <w:tcW w:w="1825" w:type="dxa"/>
          </w:tcPr>
          <w:p w14:paraId="47F2274E">
            <w:pPr>
              <w:pStyle w:val="63"/>
              <w:spacing w:before="110" w:line="232" w:lineRule="auto"/>
              <w:ind w:left="190"/>
              <w:rPr>
                <w:rFonts w:ascii="楷体" w:hAnsi="楷体" w:eastAsia="楷体" w:cs="楷体"/>
                <w:sz w:val="18"/>
                <w:szCs w:val="18"/>
              </w:rPr>
            </w:pPr>
            <w:r>
              <w:rPr>
                <w:rFonts w:hint="eastAsia" w:ascii="楷体" w:hAnsi="楷体" w:eastAsia="楷体" w:cs="楷体"/>
                <w:spacing w:val="7"/>
                <w:sz w:val="18"/>
                <w:szCs w:val="18"/>
              </w:rPr>
              <w:t>1000≤Y＜200000</w:t>
            </w:r>
          </w:p>
        </w:tc>
        <w:tc>
          <w:tcPr>
            <w:tcW w:w="1700" w:type="dxa"/>
          </w:tcPr>
          <w:p w14:paraId="3390A5E4">
            <w:pPr>
              <w:pStyle w:val="63"/>
              <w:spacing w:before="110" w:line="232" w:lineRule="auto"/>
              <w:ind w:left="278"/>
              <w:rPr>
                <w:rFonts w:ascii="楷体" w:hAnsi="楷体" w:eastAsia="楷体" w:cs="楷体"/>
                <w:sz w:val="18"/>
                <w:szCs w:val="18"/>
              </w:rPr>
            </w:pPr>
            <w:r>
              <w:rPr>
                <w:rFonts w:hint="eastAsia" w:ascii="楷体" w:hAnsi="楷体" w:eastAsia="楷体" w:cs="楷体"/>
                <w:spacing w:val="6"/>
                <w:sz w:val="18"/>
                <w:szCs w:val="18"/>
              </w:rPr>
              <w:t>100≤Y＜1000</w:t>
            </w:r>
          </w:p>
        </w:tc>
        <w:tc>
          <w:tcPr>
            <w:tcW w:w="1026" w:type="dxa"/>
          </w:tcPr>
          <w:p w14:paraId="0A4228E0">
            <w:pPr>
              <w:pStyle w:val="63"/>
              <w:spacing w:before="110" w:line="232" w:lineRule="auto"/>
              <w:ind w:left="216"/>
              <w:rPr>
                <w:rFonts w:ascii="楷体" w:hAnsi="楷体" w:eastAsia="楷体" w:cs="楷体"/>
                <w:sz w:val="18"/>
                <w:szCs w:val="18"/>
              </w:rPr>
            </w:pPr>
            <w:r>
              <w:rPr>
                <w:rFonts w:hint="eastAsia" w:ascii="楷体" w:hAnsi="楷体" w:eastAsia="楷体" w:cs="楷体"/>
                <w:spacing w:val="7"/>
                <w:sz w:val="18"/>
                <w:szCs w:val="18"/>
              </w:rPr>
              <w:t>Y＜100</w:t>
            </w:r>
          </w:p>
        </w:tc>
      </w:tr>
      <w:tr w14:paraId="7218B7F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trPr>
        <w:tc>
          <w:tcPr>
            <w:tcW w:w="2214" w:type="dxa"/>
            <w:vMerge w:val="continue"/>
            <w:tcBorders>
              <w:top w:val="nil"/>
            </w:tcBorders>
            <w:shd w:val="clear" w:color="auto" w:fill="auto"/>
            <w:vAlign w:val="center"/>
          </w:tcPr>
          <w:p w14:paraId="43B8D160">
            <w:pPr>
              <w:jc w:val="center"/>
              <w:rPr>
                <w:rFonts w:ascii="楷体" w:hAnsi="楷体" w:eastAsia="楷体" w:cs="楷体"/>
                <w:sz w:val="18"/>
                <w:szCs w:val="18"/>
              </w:rPr>
            </w:pPr>
          </w:p>
        </w:tc>
        <w:tc>
          <w:tcPr>
            <w:tcW w:w="1473" w:type="dxa"/>
            <w:shd w:val="clear" w:color="auto" w:fill="B8CCE4"/>
          </w:tcPr>
          <w:p w14:paraId="7944ACFD">
            <w:pPr>
              <w:pStyle w:val="63"/>
              <w:spacing w:before="113" w:line="220" w:lineRule="auto"/>
              <w:ind w:left="202"/>
              <w:rPr>
                <w:rFonts w:ascii="楷体" w:hAnsi="楷体" w:eastAsia="楷体" w:cs="楷体"/>
                <w:sz w:val="18"/>
                <w:szCs w:val="18"/>
              </w:rPr>
            </w:pPr>
            <w:r>
              <w:rPr>
                <w:rFonts w:hint="eastAsia" w:ascii="楷体" w:hAnsi="楷体" w:eastAsia="楷体" w:cs="楷体"/>
                <w:spacing w:val="9"/>
                <w:sz w:val="18"/>
                <w:szCs w:val="18"/>
              </w:rPr>
              <w:t>资产总额(Z)</w:t>
            </w:r>
          </w:p>
        </w:tc>
        <w:tc>
          <w:tcPr>
            <w:tcW w:w="757" w:type="dxa"/>
            <w:shd w:val="clear" w:color="auto" w:fill="B8CCE4"/>
          </w:tcPr>
          <w:p w14:paraId="7C3FB87D">
            <w:pPr>
              <w:pStyle w:val="63"/>
              <w:spacing w:before="114"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5C9D6DCD">
            <w:pPr>
              <w:pStyle w:val="63"/>
              <w:spacing w:before="113" w:line="231" w:lineRule="auto"/>
              <w:ind w:left="213"/>
              <w:rPr>
                <w:rFonts w:ascii="楷体" w:hAnsi="楷体" w:eastAsia="楷体" w:cs="楷体"/>
                <w:sz w:val="18"/>
                <w:szCs w:val="18"/>
              </w:rPr>
            </w:pPr>
            <w:r>
              <w:rPr>
                <w:rFonts w:hint="eastAsia" w:ascii="楷体" w:hAnsi="楷体" w:eastAsia="楷体" w:cs="楷体"/>
                <w:spacing w:val="7"/>
                <w:sz w:val="18"/>
                <w:szCs w:val="18"/>
              </w:rPr>
              <w:t>Z≥10000</w:t>
            </w:r>
          </w:p>
        </w:tc>
        <w:tc>
          <w:tcPr>
            <w:tcW w:w="1825" w:type="dxa"/>
            <w:shd w:val="clear" w:color="auto" w:fill="B8CCE4"/>
          </w:tcPr>
          <w:p w14:paraId="66CA60C1">
            <w:pPr>
              <w:pStyle w:val="63"/>
              <w:spacing w:before="113" w:line="231" w:lineRule="auto"/>
              <w:ind w:left="231"/>
              <w:rPr>
                <w:rFonts w:ascii="楷体" w:hAnsi="楷体" w:eastAsia="楷体" w:cs="楷体"/>
                <w:sz w:val="18"/>
                <w:szCs w:val="18"/>
              </w:rPr>
            </w:pPr>
            <w:r>
              <w:rPr>
                <w:rFonts w:hint="eastAsia" w:ascii="楷体" w:hAnsi="楷体" w:eastAsia="楷体" w:cs="楷体"/>
                <w:spacing w:val="7"/>
                <w:sz w:val="18"/>
                <w:szCs w:val="18"/>
              </w:rPr>
              <w:t>5000≤Z＜10000</w:t>
            </w:r>
          </w:p>
        </w:tc>
        <w:tc>
          <w:tcPr>
            <w:tcW w:w="1700" w:type="dxa"/>
            <w:shd w:val="clear" w:color="auto" w:fill="B8CCE4"/>
          </w:tcPr>
          <w:p w14:paraId="1C2F5CF4">
            <w:pPr>
              <w:pStyle w:val="63"/>
              <w:spacing w:before="113" w:line="231" w:lineRule="auto"/>
              <w:ind w:left="111"/>
              <w:rPr>
                <w:rFonts w:ascii="楷体" w:hAnsi="楷体" w:eastAsia="楷体" w:cs="楷体"/>
                <w:sz w:val="18"/>
                <w:szCs w:val="18"/>
              </w:rPr>
            </w:pPr>
            <w:r>
              <w:rPr>
                <w:rFonts w:hint="eastAsia" w:ascii="楷体" w:hAnsi="楷体" w:eastAsia="楷体" w:cs="楷体"/>
                <w:spacing w:val="7"/>
                <w:sz w:val="18"/>
                <w:szCs w:val="18"/>
              </w:rPr>
              <w:t>2000≤Z＜5000</w:t>
            </w:r>
          </w:p>
        </w:tc>
        <w:tc>
          <w:tcPr>
            <w:tcW w:w="1026" w:type="dxa"/>
            <w:shd w:val="clear" w:color="auto" w:fill="B8CCE4"/>
          </w:tcPr>
          <w:p w14:paraId="7C925796">
            <w:pPr>
              <w:pStyle w:val="63"/>
              <w:spacing w:before="113" w:line="231" w:lineRule="auto"/>
              <w:ind w:left="171"/>
              <w:rPr>
                <w:rFonts w:ascii="楷体" w:hAnsi="楷体" w:eastAsia="楷体" w:cs="楷体"/>
                <w:sz w:val="18"/>
                <w:szCs w:val="18"/>
              </w:rPr>
            </w:pPr>
            <w:r>
              <w:rPr>
                <w:rFonts w:hint="eastAsia" w:ascii="楷体" w:hAnsi="楷体" w:eastAsia="楷体" w:cs="楷体"/>
                <w:spacing w:val="6"/>
                <w:sz w:val="18"/>
                <w:szCs w:val="18"/>
              </w:rPr>
              <w:t>Z＜2000</w:t>
            </w:r>
          </w:p>
        </w:tc>
      </w:tr>
      <w:tr w14:paraId="7760DA3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0" w:hRule="atLeast"/>
        </w:trPr>
        <w:tc>
          <w:tcPr>
            <w:tcW w:w="2214" w:type="dxa"/>
            <w:vMerge w:val="restart"/>
            <w:tcBorders>
              <w:bottom w:val="nil"/>
            </w:tcBorders>
            <w:vAlign w:val="center"/>
          </w:tcPr>
          <w:p w14:paraId="22D66605">
            <w:pPr>
              <w:pStyle w:val="63"/>
              <w:spacing w:line="220" w:lineRule="auto"/>
              <w:jc w:val="center"/>
              <w:rPr>
                <w:rFonts w:ascii="楷体" w:hAnsi="楷体" w:eastAsia="楷体" w:cs="楷体"/>
                <w:sz w:val="18"/>
                <w:szCs w:val="18"/>
              </w:rPr>
            </w:pPr>
            <w:r>
              <w:rPr>
                <w:rFonts w:hint="eastAsia" w:ascii="楷体" w:hAnsi="楷体" w:eastAsia="楷体" w:cs="楷体"/>
                <w:spacing w:val="10"/>
                <w:sz w:val="18"/>
                <w:szCs w:val="18"/>
              </w:rPr>
              <w:t>物业管理</w:t>
            </w:r>
          </w:p>
        </w:tc>
        <w:tc>
          <w:tcPr>
            <w:tcW w:w="1473" w:type="dxa"/>
          </w:tcPr>
          <w:p w14:paraId="498408BF">
            <w:pPr>
              <w:pStyle w:val="63"/>
              <w:spacing w:before="115"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74DA3448">
            <w:pPr>
              <w:pStyle w:val="63"/>
              <w:spacing w:before="115"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1ABEDF2F">
            <w:pPr>
              <w:pStyle w:val="63"/>
              <w:spacing w:before="114" w:line="231" w:lineRule="auto"/>
              <w:ind w:left="262"/>
              <w:rPr>
                <w:rFonts w:ascii="楷体" w:hAnsi="楷体" w:eastAsia="楷体" w:cs="楷体"/>
                <w:sz w:val="18"/>
                <w:szCs w:val="18"/>
              </w:rPr>
            </w:pPr>
            <w:r>
              <w:rPr>
                <w:rFonts w:hint="eastAsia" w:ascii="楷体" w:hAnsi="楷体" w:eastAsia="楷体" w:cs="楷体"/>
                <w:spacing w:val="7"/>
                <w:sz w:val="18"/>
                <w:szCs w:val="18"/>
              </w:rPr>
              <w:t>X≥1000</w:t>
            </w:r>
          </w:p>
        </w:tc>
        <w:tc>
          <w:tcPr>
            <w:tcW w:w="1825" w:type="dxa"/>
          </w:tcPr>
          <w:p w14:paraId="117BC41F">
            <w:pPr>
              <w:pStyle w:val="63"/>
              <w:spacing w:before="114" w:line="231" w:lineRule="auto"/>
              <w:ind w:left="329"/>
              <w:rPr>
                <w:rFonts w:ascii="楷体" w:hAnsi="楷体" w:eastAsia="楷体" w:cs="楷体"/>
                <w:sz w:val="18"/>
                <w:szCs w:val="18"/>
              </w:rPr>
            </w:pPr>
            <w:r>
              <w:rPr>
                <w:rFonts w:hint="eastAsia" w:ascii="楷体" w:hAnsi="楷体" w:eastAsia="楷体" w:cs="楷体"/>
                <w:spacing w:val="7"/>
                <w:sz w:val="18"/>
                <w:szCs w:val="18"/>
              </w:rPr>
              <w:t>300≤X＜1000</w:t>
            </w:r>
          </w:p>
        </w:tc>
        <w:tc>
          <w:tcPr>
            <w:tcW w:w="1700" w:type="dxa"/>
          </w:tcPr>
          <w:p w14:paraId="090E47B7">
            <w:pPr>
              <w:pStyle w:val="63"/>
              <w:spacing w:before="114" w:line="231" w:lineRule="auto"/>
              <w:ind w:left="329"/>
              <w:rPr>
                <w:rFonts w:ascii="楷体" w:hAnsi="楷体" w:eastAsia="楷体" w:cs="楷体"/>
                <w:sz w:val="18"/>
                <w:szCs w:val="18"/>
              </w:rPr>
            </w:pPr>
            <w:r>
              <w:rPr>
                <w:rFonts w:hint="eastAsia" w:ascii="楷体" w:hAnsi="楷体" w:eastAsia="楷体" w:cs="楷体"/>
                <w:spacing w:val="6"/>
                <w:sz w:val="18"/>
                <w:szCs w:val="18"/>
              </w:rPr>
              <w:t>100≤X＜300</w:t>
            </w:r>
          </w:p>
        </w:tc>
        <w:tc>
          <w:tcPr>
            <w:tcW w:w="1026" w:type="dxa"/>
          </w:tcPr>
          <w:p w14:paraId="25752CC1">
            <w:pPr>
              <w:pStyle w:val="63"/>
              <w:spacing w:before="114" w:line="231" w:lineRule="auto"/>
              <w:ind w:left="217"/>
              <w:rPr>
                <w:rFonts w:ascii="楷体" w:hAnsi="楷体" w:eastAsia="楷体" w:cs="楷体"/>
                <w:sz w:val="18"/>
                <w:szCs w:val="18"/>
              </w:rPr>
            </w:pPr>
            <w:r>
              <w:rPr>
                <w:rFonts w:hint="eastAsia" w:ascii="楷体" w:hAnsi="楷体" w:eastAsia="楷体" w:cs="楷体"/>
                <w:spacing w:val="6"/>
                <w:sz w:val="18"/>
                <w:szCs w:val="18"/>
              </w:rPr>
              <w:t>X＜100</w:t>
            </w:r>
          </w:p>
        </w:tc>
      </w:tr>
      <w:tr w14:paraId="2984BF7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3" w:hRule="atLeast"/>
        </w:trPr>
        <w:tc>
          <w:tcPr>
            <w:tcW w:w="2214" w:type="dxa"/>
            <w:vMerge w:val="continue"/>
            <w:tcBorders>
              <w:top w:val="nil"/>
            </w:tcBorders>
            <w:shd w:val="clear" w:color="auto" w:fill="auto"/>
            <w:vAlign w:val="center"/>
          </w:tcPr>
          <w:p w14:paraId="0E79DCDB">
            <w:pPr>
              <w:jc w:val="center"/>
              <w:rPr>
                <w:rFonts w:ascii="楷体" w:hAnsi="楷体" w:eastAsia="楷体" w:cs="楷体"/>
                <w:sz w:val="18"/>
                <w:szCs w:val="18"/>
              </w:rPr>
            </w:pPr>
          </w:p>
        </w:tc>
        <w:tc>
          <w:tcPr>
            <w:tcW w:w="1473" w:type="dxa"/>
            <w:shd w:val="clear" w:color="auto" w:fill="B8CCE4"/>
          </w:tcPr>
          <w:p w14:paraId="05972E92">
            <w:pPr>
              <w:pStyle w:val="63"/>
              <w:spacing w:before="115" w:line="220" w:lineRule="auto"/>
              <w:ind w:left="200"/>
              <w:rPr>
                <w:rFonts w:ascii="楷体" w:hAnsi="楷体" w:eastAsia="楷体" w:cs="楷体"/>
                <w:sz w:val="18"/>
                <w:szCs w:val="18"/>
              </w:rPr>
            </w:pPr>
            <w:r>
              <w:rPr>
                <w:rFonts w:hint="eastAsia" w:ascii="楷体" w:hAnsi="楷体" w:eastAsia="楷体" w:cs="楷体"/>
                <w:spacing w:val="9"/>
                <w:sz w:val="18"/>
                <w:szCs w:val="18"/>
              </w:rPr>
              <w:t>营业收入(Y)</w:t>
            </w:r>
          </w:p>
        </w:tc>
        <w:tc>
          <w:tcPr>
            <w:tcW w:w="757" w:type="dxa"/>
            <w:shd w:val="clear" w:color="auto" w:fill="B8CCE4"/>
          </w:tcPr>
          <w:p w14:paraId="0AE3B019">
            <w:pPr>
              <w:pStyle w:val="63"/>
              <w:spacing w:before="115"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31FEFA26">
            <w:pPr>
              <w:pStyle w:val="63"/>
              <w:spacing w:before="115" w:line="233" w:lineRule="auto"/>
              <w:ind w:left="261"/>
              <w:rPr>
                <w:rFonts w:ascii="楷体" w:hAnsi="楷体" w:eastAsia="楷体" w:cs="楷体"/>
                <w:sz w:val="18"/>
                <w:szCs w:val="18"/>
              </w:rPr>
            </w:pPr>
            <w:r>
              <w:rPr>
                <w:rFonts w:hint="eastAsia" w:ascii="楷体" w:hAnsi="楷体" w:eastAsia="楷体" w:cs="楷体"/>
                <w:spacing w:val="7"/>
                <w:sz w:val="18"/>
                <w:szCs w:val="18"/>
              </w:rPr>
              <w:t>Y≥5000</w:t>
            </w:r>
          </w:p>
        </w:tc>
        <w:tc>
          <w:tcPr>
            <w:tcW w:w="1825" w:type="dxa"/>
            <w:shd w:val="clear" w:color="auto" w:fill="B8CCE4"/>
          </w:tcPr>
          <w:p w14:paraId="64A007C4">
            <w:pPr>
              <w:pStyle w:val="63"/>
              <w:spacing w:before="115" w:line="233" w:lineRule="auto"/>
              <w:ind w:left="289"/>
              <w:rPr>
                <w:rFonts w:ascii="楷体" w:hAnsi="楷体" w:eastAsia="楷体" w:cs="楷体"/>
                <w:sz w:val="18"/>
                <w:szCs w:val="18"/>
              </w:rPr>
            </w:pPr>
            <w:r>
              <w:rPr>
                <w:rFonts w:hint="eastAsia" w:ascii="楷体" w:hAnsi="楷体" w:eastAsia="楷体" w:cs="楷体"/>
                <w:spacing w:val="6"/>
                <w:sz w:val="18"/>
                <w:szCs w:val="18"/>
              </w:rPr>
              <w:t>1000≤Y＜5000</w:t>
            </w:r>
          </w:p>
        </w:tc>
        <w:tc>
          <w:tcPr>
            <w:tcW w:w="1700" w:type="dxa"/>
            <w:shd w:val="clear" w:color="auto" w:fill="B8CCE4"/>
          </w:tcPr>
          <w:p w14:paraId="76103FE7">
            <w:pPr>
              <w:pStyle w:val="63"/>
              <w:spacing w:before="115" w:line="233" w:lineRule="auto"/>
              <w:ind w:left="269"/>
              <w:rPr>
                <w:rFonts w:ascii="楷体" w:hAnsi="楷体" w:eastAsia="楷体" w:cs="楷体"/>
                <w:sz w:val="18"/>
                <w:szCs w:val="18"/>
              </w:rPr>
            </w:pPr>
            <w:r>
              <w:rPr>
                <w:rFonts w:hint="eastAsia" w:ascii="楷体" w:hAnsi="楷体" w:eastAsia="楷体" w:cs="楷体"/>
                <w:spacing w:val="7"/>
                <w:sz w:val="18"/>
                <w:szCs w:val="18"/>
              </w:rPr>
              <w:t>500≤Y＜1000</w:t>
            </w:r>
          </w:p>
        </w:tc>
        <w:tc>
          <w:tcPr>
            <w:tcW w:w="1026" w:type="dxa"/>
            <w:shd w:val="clear" w:color="auto" w:fill="B8CCE4"/>
          </w:tcPr>
          <w:p w14:paraId="153B6A30">
            <w:pPr>
              <w:pStyle w:val="63"/>
              <w:spacing w:before="115" w:line="233" w:lineRule="auto"/>
              <w:ind w:left="216"/>
              <w:rPr>
                <w:rFonts w:ascii="楷体" w:hAnsi="楷体" w:eastAsia="楷体" w:cs="楷体"/>
                <w:sz w:val="18"/>
                <w:szCs w:val="18"/>
              </w:rPr>
            </w:pPr>
            <w:r>
              <w:rPr>
                <w:rFonts w:hint="eastAsia" w:ascii="楷体" w:hAnsi="楷体" w:eastAsia="楷体" w:cs="楷体"/>
                <w:spacing w:val="7"/>
                <w:sz w:val="18"/>
                <w:szCs w:val="18"/>
              </w:rPr>
              <w:t>Y＜500</w:t>
            </w:r>
          </w:p>
        </w:tc>
      </w:tr>
      <w:tr w14:paraId="45AA145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49" w:hRule="atLeast"/>
        </w:trPr>
        <w:tc>
          <w:tcPr>
            <w:tcW w:w="2214" w:type="dxa"/>
            <w:vMerge w:val="restart"/>
            <w:tcBorders>
              <w:bottom w:val="nil"/>
            </w:tcBorders>
            <w:vAlign w:val="center"/>
          </w:tcPr>
          <w:p w14:paraId="00FDDD48">
            <w:pPr>
              <w:pStyle w:val="63"/>
              <w:spacing w:line="270" w:lineRule="auto"/>
              <w:jc w:val="center"/>
              <w:rPr>
                <w:rFonts w:ascii="楷体" w:hAnsi="楷体" w:eastAsia="楷体" w:cs="楷体"/>
                <w:sz w:val="18"/>
                <w:szCs w:val="18"/>
              </w:rPr>
            </w:pPr>
            <w:r>
              <w:rPr>
                <w:rFonts w:hint="eastAsia" w:ascii="楷体" w:hAnsi="楷体" w:eastAsia="楷体" w:cs="楷体"/>
                <w:spacing w:val="11"/>
                <w:sz w:val="18"/>
                <w:szCs w:val="18"/>
              </w:rPr>
              <w:t>租赁和商务服</w:t>
            </w:r>
            <w:r>
              <w:rPr>
                <w:rFonts w:hint="eastAsia" w:ascii="楷体" w:hAnsi="楷体" w:eastAsia="楷体" w:cs="楷体"/>
                <w:spacing w:val="2"/>
                <w:sz w:val="18"/>
                <w:szCs w:val="18"/>
              </w:rPr>
              <w:t>务业</w:t>
            </w:r>
          </w:p>
        </w:tc>
        <w:tc>
          <w:tcPr>
            <w:tcW w:w="1473" w:type="dxa"/>
          </w:tcPr>
          <w:p w14:paraId="05F087F7">
            <w:pPr>
              <w:pStyle w:val="63"/>
              <w:spacing w:before="112"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1D0913AA">
            <w:pPr>
              <w:pStyle w:val="63"/>
              <w:spacing w:before="112"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3895DD51">
            <w:pPr>
              <w:pStyle w:val="63"/>
              <w:spacing w:before="112" w:line="232" w:lineRule="auto"/>
              <w:ind w:left="310"/>
              <w:rPr>
                <w:rFonts w:ascii="楷体" w:hAnsi="楷体" w:eastAsia="楷体" w:cs="楷体"/>
                <w:sz w:val="18"/>
                <w:szCs w:val="18"/>
              </w:rPr>
            </w:pPr>
            <w:r>
              <w:rPr>
                <w:rFonts w:hint="eastAsia" w:ascii="楷体" w:hAnsi="楷体" w:eastAsia="楷体" w:cs="楷体"/>
                <w:spacing w:val="6"/>
                <w:sz w:val="18"/>
                <w:szCs w:val="18"/>
              </w:rPr>
              <w:t>X≥300</w:t>
            </w:r>
          </w:p>
        </w:tc>
        <w:tc>
          <w:tcPr>
            <w:tcW w:w="1825" w:type="dxa"/>
          </w:tcPr>
          <w:p w14:paraId="644263F1">
            <w:pPr>
              <w:pStyle w:val="63"/>
              <w:spacing w:before="112" w:line="232" w:lineRule="auto"/>
              <w:ind w:left="387"/>
              <w:rPr>
                <w:rFonts w:ascii="楷体" w:hAnsi="楷体" w:eastAsia="楷体" w:cs="楷体"/>
                <w:sz w:val="18"/>
                <w:szCs w:val="18"/>
              </w:rPr>
            </w:pPr>
            <w:r>
              <w:rPr>
                <w:rFonts w:hint="eastAsia" w:ascii="楷体" w:hAnsi="楷体" w:eastAsia="楷体" w:cs="楷体"/>
                <w:spacing w:val="6"/>
                <w:sz w:val="18"/>
                <w:szCs w:val="18"/>
              </w:rPr>
              <w:t>100≤X＜300</w:t>
            </w:r>
          </w:p>
        </w:tc>
        <w:tc>
          <w:tcPr>
            <w:tcW w:w="1700" w:type="dxa"/>
          </w:tcPr>
          <w:p w14:paraId="4F1626E9">
            <w:pPr>
              <w:pStyle w:val="63"/>
              <w:spacing w:before="112" w:line="232" w:lineRule="auto"/>
              <w:ind w:left="377"/>
              <w:rPr>
                <w:rFonts w:ascii="楷体" w:hAnsi="楷体" w:eastAsia="楷体" w:cs="楷体"/>
                <w:sz w:val="18"/>
                <w:szCs w:val="18"/>
              </w:rPr>
            </w:pPr>
            <w:r>
              <w:rPr>
                <w:rFonts w:hint="eastAsia" w:ascii="楷体" w:hAnsi="楷体" w:eastAsia="楷体" w:cs="楷体"/>
                <w:spacing w:val="6"/>
                <w:sz w:val="18"/>
                <w:szCs w:val="18"/>
              </w:rPr>
              <w:t>10≤X＜100</w:t>
            </w:r>
          </w:p>
        </w:tc>
        <w:tc>
          <w:tcPr>
            <w:tcW w:w="1026" w:type="dxa"/>
          </w:tcPr>
          <w:p w14:paraId="6C88223E">
            <w:pPr>
              <w:pStyle w:val="63"/>
              <w:spacing w:before="112" w:line="232" w:lineRule="auto"/>
              <w:ind w:left="268"/>
              <w:rPr>
                <w:rFonts w:ascii="楷体" w:hAnsi="楷体" w:eastAsia="楷体" w:cs="楷体"/>
                <w:sz w:val="18"/>
                <w:szCs w:val="18"/>
              </w:rPr>
            </w:pPr>
            <w:r>
              <w:rPr>
                <w:rFonts w:hint="eastAsia" w:ascii="楷体" w:hAnsi="楷体" w:eastAsia="楷体" w:cs="楷体"/>
                <w:spacing w:val="6"/>
                <w:sz w:val="18"/>
                <w:szCs w:val="18"/>
              </w:rPr>
              <w:t>X＜10</w:t>
            </w:r>
          </w:p>
        </w:tc>
      </w:tr>
      <w:tr w14:paraId="0E5D132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3" w:hRule="atLeast"/>
        </w:trPr>
        <w:tc>
          <w:tcPr>
            <w:tcW w:w="2214" w:type="dxa"/>
            <w:vMerge w:val="continue"/>
            <w:tcBorders>
              <w:top w:val="nil"/>
            </w:tcBorders>
            <w:shd w:val="clear" w:color="auto" w:fill="auto"/>
            <w:vAlign w:val="center"/>
          </w:tcPr>
          <w:p w14:paraId="12A1154F">
            <w:pPr>
              <w:jc w:val="center"/>
              <w:rPr>
                <w:rFonts w:ascii="楷体" w:hAnsi="楷体" w:eastAsia="楷体" w:cs="楷体"/>
                <w:sz w:val="18"/>
                <w:szCs w:val="18"/>
              </w:rPr>
            </w:pPr>
          </w:p>
        </w:tc>
        <w:tc>
          <w:tcPr>
            <w:tcW w:w="1473" w:type="dxa"/>
            <w:shd w:val="clear" w:color="auto" w:fill="B8CCE4"/>
          </w:tcPr>
          <w:p w14:paraId="41411A6B">
            <w:pPr>
              <w:pStyle w:val="63"/>
              <w:spacing w:before="113" w:line="220" w:lineRule="auto"/>
              <w:ind w:left="202"/>
              <w:rPr>
                <w:rFonts w:ascii="楷体" w:hAnsi="楷体" w:eastAsia="楷体" w:cs="楷体"/>
                <w:sz w:val="18"/>
                <w:szCs w:val="18"/>
              </w:rPr>
            </w:pPr>
            <w:r>
              <w:rPr>
                <w:rFonts w:hint="eastAsia" w:ascii="楷体" w:hAnsi="楷体" w:eastAsia="楷体" w:cs="楷体"/>
                <w:spacing w:val="9"/>
                <w:sz w:val="18"/>
                <w:szCs w:val="18"/>
              </w:rPr>
              <w:t>资产总额(Z)</w:t>
            </w:r>
          </w:p>
        </w:tc>
        <w:tc>
          <w:tcPr>
            <w:tcW w:w="757" w:type="dxa"/>
            <w:shd w:val="clear" w:color="auto" w:fill="B8CCE4"/>
          </w:tcPr>
          <w:p w14:paraId="04736F74">
            <w:pPr>
              <w:pStyle w:val="63"/>
              <w:spacing w:before="113" w:line="220" w:lineRule="auto"/>
              <w:ind w:left="186"/>
              <w:rPr>
                <w:rFonts w:ascii="楷体" w:hAnsi="楷体" w:eastAsia="楷体" w:cs="楷体"/>
                <w:sz w:val="18"/>
                <w:szCs w:val="18"/>
              </w:rPr>
            </w:pPr>
            <w:r>
              <w:rPr>
                <w:rFonts w:hint="eastAsia" w:ascii="楷体" w:hAnsi="楷体" w:eastAsia="楷体" w:cs="楷体"/>
                <w:spacing w:val="1"/>
                <w:sz w:val="18"/>
                <w:szCs w:val="18"/>
              </w:rPr>
              <w:t>万元</w:t>
            </w:r>
          </w:p>
        </w:tc>
        <w:tc>
          <w:tcPr>
            <w:tcW w:w="1213" w:type="dxa"/>
            <w:shd w:val="clear" w:color="auto" w:fill="B8CCE4"/>
          </w:tcPr>
          <w:p w14:paraId="19ABAD22">
            <w:pPr>
              <w:pStyle w:val="63"/>
              <w:spacing w:before="113" w:line="235" w:lineRule="auto"/>
              <w:ind w:left="165"/>
              <w:rPr>
                <w:rFonts w:ascii="楷体" w:hAnsi="楷体" w:eastAsia="楷体" w:cs="楷体"/>
                <w:sz w:val="18"/>
                <w:szCs w:val="18"/>
              </w:rPr>
            </w:pPr>
            <w:r>
              <w:rPr>
                <w:rFonts w:hint="eastAsia" w:ascii="楷体" w:hAnsi="楷体" w:eastAsia="楷体" w:cs="楷体"/>
                <w:spacing w:val="7"/>
                <w:sz w:val="18"/>
                <w:szCs w:val="18"/>
              </w:rPr>
              <w:t>Z≥120000</w:t>
            </w:r>
          </w:p>
        </w:tc>
        <w:tc>
          <w:tcPr>
            <w:tcW w:w="1825" w:type="dxa"/>
            <w:shd w:val="clear" w:color="auto" w:fill="B8CCE4"/>
          </w:tcPr>
          <w:p w14:paraId="097E0293">
            <w:pPr>
              <w:pStyle w:val="63"/>
              <w:spacing w:before="113" w:line="235" w:lineRule="auto"/>
              <w:ind w:left="178"/>
              <w:rPr>
                <w:rFonts w:ascii="楷体" w:hAnsi="楷体" w:eastAsia="楷体" w:cs="楷体"/>
                <w:sz w:val="18"/>
                <w:szCs w:val="18"/>
              </w:rPr>
            </w:pPr>
            <w:r>
              <w:rPr>
                <w:rFonts w:hint="eastAsia" w:ascii="楷体" w:hAnsi="楷体" w:eastAsia="楷体" w:cs="楷体"/>
                <w:spacing w:val="8"/>
                <w:sz w:val="18"/>
                <w:szCs w:val="18"/>
              </w:rPr>
              <w:t>8000≤Z＜120000</w:t>
            </w:r>
          </w:p>
        </w:tc>
        <w:tc>
          <w:tcPr>
            <w:tcW w:w="1700" w:type="dxa"/>
            <w:shd w:val="clear" w:color="auto" w:fill="B8CCE4"/>
          </w:tcPr>
          <w:p w14:paraId="06287891">
            <w:pPr>
              <w:pStyle w:val="63"/>
              <w:spacing w:before="113" w:line="235" w:lineRule="auto"/>
              <w:ind w:left="122"/>
              <w:rPr>
                <w:rFonts w:ascii="楷体" w:hAnsi="楷体" w:eastAsia="楷体" w:cs="楷体"/>
                <w:sz w:val="18"/>
                <w:szCs w:val="18"/>
              </w:rPr>
            </w:pPr>
            <w:r>
              <w:rPr>
                <w:rFonts w:hint="eastAsia" w:ascii="楷体" w:hAnsi="楷体" w:eastAsia="楷体" w:cs="楷体"/>
                <w:spacing w:val="6"/>
                <w:sz w:val="18"/>
                <w:szCs w:val="18"/>
              </w:rPr>
              <w:t>100≤Z＜8000</w:t>
            </w:r>
          </w:p>
        </w:tc>
        <w:tc>
          <w:tcPr>
            <w:tcW w:w="1026" w:type="dxa"/>
            <w:shd w:val="clear" w:color="auto" w:fill="B8CCE4"/>
          </w:tcPr>
          <w:p w14:paraId="1E7DC21E">
            <w:pPr>
              <w:pStyle w:val="63"/>
              <w:spacing w:before="113" w:line="235" w:lineRule="auto"/>
              <w:ind w:left="219"/>
              <w:rPr>
                <w:rFonts w:ascii="楷体" w:hAnsi="楷体" w:eastAsia="楷体" w:cs="楷体"/>
                <w:sz w:val="18"/>
                <w:szCs w:val="18"/>
              </w:rPr>
            </w:pPr>
            <w:r>
              <w:rPr>
                <w:rFonts w:hint="eastAsia" w:ascii="楷体" w:hAnsi="楷体" w:eastAsia="楷体" w:cs="楷体"/>
                <w:spacing w:val="6"/>
                <w:sz w:val="18"/>
                <w:szCs w:val="18"/>
              </w:rPr>
              <w:t>Z＜100</w:t>
            </w:r>
          </w:p>
        </w:tc>
      </w:tr>
      <w:tr w14:paraId="01C5EFE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8" w:hRule="atLeast"/>
        </w:trPr>
        <w:tc>
          <w:tcPr>
            <w:tcW w:w="2214" w:type="dxa"/>
            <w:vAlign w:val="center"/>
          </w:tcPr>
          <w:p w14:paraId="2783837B">
            <w:pPr>
              <w:pStyle w:val="63"/>
              <w:spacing w:line="276" w:lineRule="auto"/>
              <w:jc w:val="center"/>
              <w:rPr>
                <w:rFonts w:ascii="楷体" w:hAnsi="楷体" w:eastAsia="楷体" w:cs="楷体"/>
                <w:sz w:val="18"/>
                <w:szCs w:val="18"/>
              </w:rPr>
            </w:pPr>
            <w:r>
              <w:rPr>
                <w:rFonts w:hint="eastAsia" w:ascii="楷体" w:hAnsi="楷体" w:eastAsia="楷体" w:cs="楷体"/>
                <w:spacing w:val="11"/>
                <w:sz w:val="18"/>
                <w:szCs w:val="18"/>
              </w:rPr>
              <w:t>其他未列明行</w:t>
            </w:r>
            <w:r>
              <w:rPr>
                <w:rFonts w:hint="eastAsia" w:ascii="楷体" w:hAnsi="楷体" w:eastAsia="楷体" w:cs="楷体"/>
                <w:spacing w:val="-4"/>
                <w:sz w:val="18"/>
                <w:szCs w:val="18"/>
              </w:rPr>
              <w:t>业</w:t>
            </w:r>
          </w:p>
        </w:tc>
        <w:tc>
          <w:tcPr>
            <w:tcW w:w="1473" w:type="dxa"/>
          </w:tcPr>
          <w:p w14:paraId="164801AC">
            <w:pPr>
              <w:pStyle w:val="63"/>
              <w:spacing w:before="250" w:line="220" w:lineRule="auto"/>
              <w:ind w:left="197"/>
              <w:rPr>
                <w:rFonts w:ascii="楷体" w:hAnsi="楷体" w:eastAsia="楷体" w:cs="楷体"/>
                <w:sz w:val="18"/>
                <w:szCs w:val="18"/>
              </w:rPr>
            </w:pPr>
            <w:r>
              <w:rPr>
                <w:rFonts w:hint="eastAsia" w:ascii="楷体" w:hAnsi="楷体" w:eastAsia="楷体" w:cs="楷体"/>
                <w:spacing w:val="10"/>
                <w:sz w:val="18"/>
                <w:szCs w:val="18"/>
              </w:rPr>
              <w:t>从业人员(X)</w:t>
            </w:r>
          </w:p>
        </w:tc>
        <w:tc>
          <w:tcPr>
            <w:tcW w:w="757" w:type="dxa"/>
          </w:tcPr>
          <w:p w14:paraId="01C0C45A">
            <w:pPr>
              <w:pStyle w:val="63"/>
              <w:spacing w:before="250" w:line="222" w:lineRule="auto"/>
              <w:ind w:left="279"/>
              <w:rPr>
                <w:rFonts w:ascii="楷体" w:hAnsi="楷体" w:eastAsia="楷体" w:cs="楷体"/>
                <w:sz w:val="18"/>
                <w:szCs w:val="18"/>
              </w:rPr>
            </w:pPr>
            <w:r>
              <w:rPr>
                <w:rFonts w:hint="eastAsia" w:ascii="楷体" w:hAnsi="楷体" w:eastAsia="楷体" w:cs="楷体"/>
                <w:sz w:val="18"/>
                <w:szCs w:val="18"/>
              </w:rPr>
              <w:t>人</w:t>
            </w:r>
          </w:p>
        </w:tc>
        <w:tc>
          <w:tcPr>
            <w:tcW w:w="1213" w:type="dxa"/>
          </w:tcPr>
          <w:p w14:paraId="2FE7E4D3">
            <w:pPr>
              <w:pStyle w:val="63"/>
              <w:spacing w:before="249" w:line="238" w:lineRule="auto"/>
              <w:ind w:left="310"/>
              <w:rPr>
                <w:rFonts w:ascii="楷体" w:hAnsi="楷体" w:eastAsia="楷体" w:cs="楷体"/>
                <w:sz w:val="18"/>
                <w:szCs w:val="18"/>
              </w:rPr>
            </w:pPr>
            <w:r>
              <w:rPr>
                <w:rFonts w:hint="eastAsia" w:ascii="楷体" w:hAnsi="楷体" w:eastAsia="楷体" w:cs="楷体"/>
                <w:spacing w:val="6"/>
                <w:sz w:val="18"/>
                <w:szCs w:val="18"/>
              </w:rPr>
              <w:t>X≥300</w:t>
            </w:r>
          </w:p>
        </w:tc>
        <w:tc>
          <w:tcPr>
            <w:tcW w:w="1825" w:type="dxa"/>
          </w:tcPr>
          <w:p w14:paraId="4332C19F">
            <w:pPr>
              <w:pStyle w:val="63"/>
              <w:spacing w:before="249" w:line="236" w:lineRule="auto"/>
              <w:ind w:left="387"/>
              <w:rPr>
                <w:rFonts w:ascii="楷体" w:hAnsi="楷体" w:eastAsia="楷体" w:cs="楷体"/>
                <w:sz w:val="18"/>
                <w:szCs w:val="18"/>
              </w:rPr>
            </w:pPr>
            <w:r>
              <w:rPr>
                <w:rFonts w:hint="eastAsia" w:ascii="楷体" w:hAnsi="楷体" w:eastAsia="楷体" w:cs="楷体"/>
                <w:spacing w:val="6"/>
                <w:sz w:val="18"/>
                <w:szCs w:val="18"/>
              </w:rPr>
              <w:t>100≤X＜300</w:t>
            </w:r>
          </w:p>
        </w:tc>
        <w:tc>
          <w:tcPr>
            <w:tcW w:w="1700" w:type="dxa"/>
          </w:tcPr>
          <w:p w14:paraId="23C5DCCE">
            <w:pPr>
              <w:pStyle w:val="63"/>
              <w:spacing w:before="249" w:line="236" w:lineRule="auto"/>
              <w:ind w:left="377"/>
              <w:rPr>
                <w:rFonts w:ascii="楷体" w:hAnsi="楷体" w:eastAsia="楷体" w:cs="楷体"/>
                <w:sz w:val="18"/>
                <w:szCs w:val="18"/>
              </w:rPr>
            </w:pPr>
            <w:r>
              <w:rPr>
                <w:rFonts w:hint="eastAsia" w:ascii="楷体" w:hAnsi="楷体" w:eastAsia="楷体" w:cs="楷体"/>
                <w:spacing w:val="6"/>
                <w:sz w:val="18"/>
                <w:szCs w:val="18"/>
              </w:rPr>
              <w:t>10≤X＜100</w:t>
            </w:r>
          </w:p>
        </w:tc>
        <w:tc>
          <w:tcPr>
            <w:tcW w:w="1026" w:type="dxa"/>
          </w:tcPr>
          <w:p w14:paraId="16F5CB95">
            <w:pPr>
              <w:pStyle w:val="63"/>
              <w:spacing w:before="249"/>
              <w:ind w:left="268"/>
              <w:rPr>
                <w:rFonts w:ascii="楷体" w:hAnsi="楷体" w:eastAsia="楷体" w:cs="楷体"/>
                <w:sz w:val="18"/>
                <w:szCs w:val="18"/>
              </w:rPr>
            </w:pPr>
            <w:r>
              <w:rPr>
                <w:rFonts w:hint="eastAsia" w:ascii="楷体" w:hAnsi="楷体" w:eastAsia="楷体" w:cs="楷体"/>
                <w:spacing w:val="6"/>
                <w:sz w:val="18"/>
                <w:szCs w:val="18"/>
              </w:rPr>
              <w:t>X＜10</w:t>
            </w:r>
          </w:p>
        </w:tc>
      </w:tr>
    </w:tbl>
    <w:p w14:paraId="26E00F65">
      <w:pPr>
        <w:pStyle w:val="51"/>
        <w:spacing w:line="360" w:lineRule="auto"/>
        <w:ind w:firstLine="480" w:firstLineChars="200"/>
        <w:jc w:val="left"/>
        <w:rPr>
          <w:rFonts w:asciiTheme="minorEastAsia" w:hAnsiTheme="minorEastAsia" w:eastAsiaTheme="minorEastAsia" w:cstheme="minorEastAsia"/>
          <w:kern w:val="0"/>
          <w:sz w:val="24"/>
          <w:szCs w:val="24"/>
          <w:lang w:val="en-US" w:eastAsia="zh-CN" w:bidi="ar-SA"/>
        </w:rPr>
      </w:pPr>
    </w:p>
    <w:p w14:paraId="26F01AA4">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说明：</w:t>
      </w:r>
    </w:p>
    <w:p w14:paraId="0C56AA56">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1.大型、中型和小型企业须同时满足所列指标的下限，否则下划一档；微型企业只须满足所列指标中的一项即可。</w:t>
      </w:r>
    </w:p>
    <w:p w14:paraId="53F6AF38">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 以及房地产中介服务，其他房地产业等，不包括自有房地产经营活动。</w:t>
      </w:r>
    </w:p>
    <w:p w14:paraId="5F41D90E">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3.企业划分指标以现行统计制度为准。</w:t>
      </w:r>
    </w:p>
    <w:p w14:paraId="3D245C68">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（1）从业人员，是指期末从业人员数，没有期末从业人员数的，采用全年平均人员数代替。</w:t>
      </w:r>
    </w:p>
    <w:p w14:paraId="7E836586">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（2）营业收入，工业、建筑业、限额以上批发和零售业、限额以上住宿和餐饮业以及其他设置主营业务收入指标的行业， 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FF177AD">
      <w:pPr>
        <w:pStyle w:val="51"/>
        <w:spacing w:line="360" w:lineRule="auto"/>
        <w:ind w:firstLine="420" w:firstLineChars="200"/>
        <w:jc w:val="left"/>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（3）资产总额，采用资产总计代替。</w:t>
      </w:r>
    </w:p>
    <w:p w14:paraId="6E8AF6ED">
      <w:pPr>
        <w:spacing w:line="360" w:lineRule="auto"/>
        <w:ind w:left="4830" w:leftChars="2300" w:firstLine="420" w:firstLineChars="200"/>
        <w:rPr>
          <w:rFonts w:ascii="楷体" w:hAnsi="楷体" w:eastAsia="楷体" w:cs="楷体"/>
        </w:rPr>
        <w:sectPr>
          <w:pgSz w:w="11906" w:h="16838"/>
          <w:pgMar w:top="1701" w:right="1531" w:bottom="1531" w:left="1531" w:header="0" w:footer="986" w:gutter="0"/>
          <w:cols w:space="0" w:num="1"/>
          <w:docGrid w:linePitch="316" w:charSpace="0"/>
        </w:sectPr>
      </w:pPr>
    </w:p>
    <w:p w14:paraId="6AFA3E2C">
      <w:pPr>
        <w:spacing w:line="360" w:lineRule="auto"/>
        <w:jc w:val="center"/>
        <w:rPr>
          <w:rFonts w:asciiTheme="minorEastAsia" w:hAnsiTheme="minorEastAsia" w:eastAsiaTheme="minorEastAsia" w:cstheme="minorEastAsia"/>
          <w:b/>
          <w:bCs/>
          <w:sz w:val="24"/>
          <w:szCs w:val="24"/>
        </w:rPr>
      </w:pPr>
      <w:bookmarkStart w:id="790" w:name="bookmark106"/>
      <w:bookmarkEnd w:id="790"/>
      <w:bookmarkStart w:id="791" w:name="bookmark105"/>
      <w:bookmarkEnd w:id="791"/>
      <w:r>
        <w:rPr>
          <w:rFonts w:hint="eastAsia" w:asciiTheme="minorEastAsia" w:hAnsiTheme="minorEastAsia" w:eastAsiaTheme="minorEastAsia" w:cstheme="minorEastAsia"/>
          <w:b/>
          <w:bCs/>
          <w:sz w:val="24"/>
          <w:szCs w:val="24"/>
        </w:rPr>
        <w:t>2.残疾人福利性单位声明函</w:t>
      </w:r>
    </w:p>
    <w:p w14:paraId="00B38788">
      <w:pPr>
        <w:spacing w:line="360" w:lineRule="auto"/>
        <w:ind w:firstLine="456" w:firstLineChars="200"/>
        <w:rPr>
          <w:rFonts w:ascii="宋体" w:hAnsi="宋体" w:cs="宋体"/>
          <w:sz w:val="24"/>
          <w:szCs w:val="24"/>
        </w:rPr>
      </w:pPr>
      <w:r>
        <w:rPr>
          <w:rFonts w:ascii="宋体" w:hAnsi="宋体" w:cs="宋体"/>
          <w:spacing w:val="-6"/>
          <w:sz w:val="24"/>
          <w:szCs w:val="24"/>
        </w:rPr>
        <w:t>本单位郑重声明，根据《财政部民政部中国残疾人联合会关于促进残疾</w:t>
      </w:r>
      <w:r>
        <w:rPr>
          <w:rFonts w:ascii="宋体" w:hAnsi="宋体" w:cs="宋体"/>
          <w:spacing w:val="1"/>
          <w:sz w:val="24"/>
          <w:szCs w:val="24"/>
        </w:rPr>
        <w:t>人就业政府采购政策的通知》（财库〔201</w:t>
      </w:r>
      <w:r>
        <w:rPr>
          <w:rFonts w:ascii="宋体" w:hAnsi="宋体" w:cs="宋体"/>
          <w:sz w:val="24"/>
          <w:szCs w:val="24"/>
        </w:rPr>
        <w:t>7〕141</w:t>
      </w:r>
      <w:r>
        <w:rPr>
          <w:rFonts w:ascii="宋体" w:hAnsi="宋体" w:cs="宋体"/>
          <w:spacing w:val="-43"/>
          <w:sz w:val="24"/>
          <w:szCs w:val="24"/>
        </w:rPr>
        <w:t xml:space="preserve"> </w:t>
      </w:r>
      <w:r>
        <w:rPr>
          <w:rFonts w:ascii="宋体" w:hAnsi="宋体" w:cs="宋体"/>
          <w:sz w:val="24"/>
          <w:szCs w:val="24"/>
        </w:rPr>
        <w:t>号）的规定，本单位为符合</w:t>
      </w:r>
      <w:r>
        <w:rPr>
          <w:rFonts w:ascii="宋体" w:hAnsi="宋体" w:cs="宋体"/>
          <w:spacing w:val="-3"/>
          <w:sz w:val="24"/>
          <w:szCs w:val="24"/>
        </w:rPr>
        <w:t>条件的残疾人福利性单位，且本单位参加</w:t>
      </w:r>
      <w:r>
        <w:rPr>
          <w:rFonts w:ascii="宋体" w:hAnsi="宋体" w:cs="宋体"/>
          <w:spacing w:val="-3"/>
          <w:sz w:val="24"/>
          <w:szCs w:val="24"/>
          <w:u w:val="single"/>
        </w:rPr>
        <w:t xml:space="preserve">      </w:t>
      </w:r>
      <w:r>
        <w:rPr>
          <w:rFonts w:ascii="宋体" w:hAnsi="宋体" w:cs="宋体"/>
          <w:spacing w:val="-109"/>
          <w:sz w:val="24"/>
          <w:szCs w:val="24"/>
        </w:rPr>
        <w:t xml:space="preserve"> </w:t>
      </w:r>
      <w:r>
        <w:rPr>
          <w:rFonts w:ascii="宋体" w:hAnsi="宋体" w:cs="宋体"/>
          <w:spacing w:val="-3"/>
          <w:sz w:val="24"/>
          <w:szCs w:val="24"/>
        </w:rPr>
        <w:t>单位的</w:t>
      </w:r>
      <w:r>
        <w:rPr>
          <w:rFonts w:ascii="宋体" w:hAnsi="宋体" w:cs="宋体"/>
          <w:spacing w:val="-3"/>
          <w:sz w:val="24"/>
          <w:szCs w:val="24"/>
          <w:u w:val="single"/>
        </w:rPr>
        <w:t xml:space="preserve">      </w:t>
      </w:r>
      <w:r>
        <w:rPr>
          <w:rFonts w:ascii="宋体" w:hAnsi="宋体" w:cs="宋体"/>
          <w:spacing w:val="-106"/>
          <w:sz w:val="24"/>
          <w:szCs w:val="24"/>
        </w:rPr>
        <w:t xml:space="preserve"> </w:t>
      </w:r>
      <w:r>
        <w:rPr>
          <w:rFonts w:ascii="宋体" w:hAnsi="宋体" w:cs="宋体"/>
          <w:spacing w:val="-3"/>
          <w:sz w:val="24"/>
          <w:szCs w:val="24"/>
        </w:rPr>
        <w:t>项</w:t>
      </w:r>
      <w:r>
        <w:rPr>
          <w:rFonts w:ascii="宋体" w:hAnsi="宋体" w:cs="宋体"/>
          <w:spacing w:val="-4"/>
          <w:sz w:val="24"/>
          <w:szCs w:val="24"/>
        </w:rPr>
        <w:t>目采购活动提供</w:t>
      </w:r>
      <w:r>
        <w:rPr>
          <w:rFonts w:ascii="宋体" w:hAnsi="宋体" w:cs="宋体"/>
          <w:sz w:val="24"/>
          <w:szCs w:val="24"/>
        </w:rPr>
        <w:t>本单位制造的货物（由本单位承担工程/提供服务</w:t>
      </w:r>
      <w:r>
        <w:rPr>
          <w:rFonts w:ascii="宋体" w:hAnsi="宋体" w:cs="宋体"/>
          <w:spacing w:val="7"/>
          <w:sz w:val="24"/>
          <w:szCs w:val="24"/>
        </w:rPr>
        <w:t>），</w:t>
      </w:r>
      <w:r>
        <w:rPr>
          <w:rFonts w:ascii="宋体" w:hAnsi="宋体" w:cs="宋体"/>
          <w:sz w:val="24"/>
          <w:szCs w:val="24"/>
        </w:rPr>
        <w:t>或者提供其他残疾人</w:t>
      </w:r>
      <w:r>
        <w:rPr>
          <w:rFonts w:ascii="宋体" w:hAnsi="宋体" w:cs="宋体"/>
          <w:spacing w:val="-1"/>
          <w:sz w:val="24"/>
          <w:szCs w:val="24"/>
        </w:rPr>
        <w:t>福利</w:t>
      </w:r>
      <w:r>
        <w:rPr>
          <w:rFonts w:ascii="宋体" w:hAnsi="宋体" w:cs="宋体"/>
          <w:sz w:val="24"/>
          <w:szCs w:val="24"/>
        </w:rPr>
        <w:t>性单位制造的货物（不包括使用非残疾人福利</w:t>
      </w:r>
      <w:r>
        <w:rPr>
          <w:rFonts w:ascii="宋体" w:hAnsi="宋体" w:cs="宋体"/>
          <w:spacing w:val="-1"/>
          <w:sz w:val="24"/>
          <w:szCs w:val="24"/>
        </w:rPr>
        <w:t>性单位注册商标的货物）。</w:t>
      </w:r>
    </w:p>
    <w:p w14:paraId="2DBE24E1">
      <w:pPr>
        <w:spacing w:line="360" w:lineRule="auto"/>
        <w:ind w:firstLine="476" w:firstLineChars="200"/>
        <w:rPr>
          <w:rFonts w:ascii="宋体" w:hAnsi="宋体" w:cs="宋体"/>
          <w:sz w:val="24"/>
          <w:szCs w:val="24"/>
        </w:rPr>
      </w:pPr>
      <w:r>
        <w:rPr>
          <w:rFonts w:ascii="宋体" w:hAnsi="宋体" w:cs="宋体"/>
          <w:spacing w:val="-1"/>
          <w:sz w:val="24"/>
          <w:szCs w:val="24"/>
        </w:rPr>
        <w:t>本单位对上述声明的真实性负责。如有虚假，将依法承担相应责任。</w:t>
      </w:r>
    </w:p>
    <w:p w14:paraId="4C609D75">
      <w:pPr>
        <w:pStyle w:val="9"/>
        <w:spacing w:line="250" w:lineRule="auto"/>
      </w:pPr>
    </w:p>
    <w:p w14:paraId="0CC21BC2">
      <w:pPr>
        <w:pStyle w:val="9"/>
        <w:spacing w:line="250" w:lineRule="auto"/>
      </w:pPr>
    </w:p>
    <w:p w14:paraId="24838464">
      <w:pPr>
        <w:pStyle w:val="9"/>
        <w:spacing w:line="250" w:lineRule="auto"/>
      </w:pPr>
    </w:p>
    <w:p w14:paraId="36832AAB">
      <w:pPr>
        <w:pStyle w:val="9"/>
        <w:spacing w:line="250" w:lineRule="auto"/>
      </w:pPr>
    </w:p>
    <w:p w14:paraId="5C6F436E">
      <w:pPr>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19C400AF">
      <w:pPr>
        <w:spacing w:line="360" w:lineRule="auto"/>
        <w:ind w:firstLine="4500" w:firstLineChars="1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5212029B">
      <w:pPr>
        <w:spacing w:line="360" w:lineRule="auto"/>
        <w:ind w:firstLine="400" w:firstLineChars="200"/>
        <w:rPr>
          <w:rFonts w:ascii="宋体" w:hAnsi="宋体" w:cs="宋体"/>
        </w:rPr>
      </w:pPr>
      <w:r>
        <w:rPr>
          <w:rFonts w:ascii="宋体" w:hAnsi="宋体" w:cs="宋体"/>
          <w:spacing w:val="-5"/>
        </w:rPr>
        <w:t>说明：</w:t>
      </w:r>
    </w:p>
    <w:p w14:paraId="3C3CBB3D">
      <w:pPr>
        <w:spacing w:line="360" w:lineRule="auto"/>
        <w:ind w:firstLine="408" w:firstLineChars="200"/>
        <w:rPr>
          <w:rFonts w:ascii="宋体" w:hAnsi="宋体" w:cs="宋体"/>
        </w:rPr>
      </w:pPr>
      <w:r>
        <w:rPr>
          <w:rFonts w:ascii="宋体" w:hAnsi="宋体" w:cs="宋体"/>
          <w:spacing w:val="-3"/>
        </w:rPr>
        <w:t>《财政部民政部中国残疾人联合会关于促进残疾人就业政府采购政策的通知》</w:t>
      </w:r>
      <w:r>
        <w:rPr>
          <w:rFonts w:ascii="宋体" w:hAnsi="宋体" w:cs="宋体"/>
          <w:spacing w:val="-2"/>
        </w:rPr>
        <w:t>（财库〔2017〕141</w:t>
      </w:r>
      <w:r>
        <w:rPr>
          <w:rFonts w:ascii="宋体" w:hAnsi="宋体" w:cs="宋体"/>
          <w:spacing w:val="-45"/>
        </w:rPr>
        <w:t xml:space="preserve"> </w:t>
      </w:r>
      <w:r>
        <w:rPr>
          <w:rFonts w:ascii="宋体" w:hAnsi="宋体" w:cs="宋体"/>
          <w:spacing w:val="-2"/>
        </w:rPr>
        <w:t>号）的规定：</w:t>
      </w:r>
    </w:p>
    <w:p w14:paraId="516EF228">
      <w:pPr>
        <w:spacing w:line="360" w:lineRule="auto"/>
        <w:ind w:firstLine="416" w:firstLineChars="200"/>
        <w:rPr>
          <w:rFonts w:ascii="宋体" w:hAnsi="宋体" w:cs="宋体"/>
        </w:rPr>
      </w:pPr>
      <w:r>
        <w:rPr>
          <w:rFonts w:ascii="宋体" w:hAnsi="宋体" w:cs="宋体"/>
          <w:spacing w:val="-1"/>
        </w:rPr>
        <w:t>一、享受政府采购支持政策的残疾人福利性单位应当同时满足以下条件：</w:t>
      </w:r>
    </w:p>
    <w:p w14:paraId="057C0A7D">
      <w:pPr>
        <w:spacing w:line="360" w:lineRule="auto"/>
        <w:ind w:firstLine="412" w:firstLineChars="200"/>
        <w:rPr>
          <w:rFonts w:ascii="宋体" w:hAnsi="宋体" w:cs="宋体"/>
        </w:rPr>
      </w:pPr>
      <w:r>
        <w:rPr>
          <w:rFonts w:ascii="宋体" w:hAnsi="宋体" w:cs="宋体"/>
          <w:spacing w:val="-2"/>
        </w:rPr>
        <w:t>（一）安置的残疾人占本单位在职职工人数的比例不低于</w:t>
      </w:r>
      <w:r>
        <w:rPr>
          <w:rFonts w:ascii="宋体" w:hAnsi="宋体" w:cs="宋体"/>
          <w:spacing w:val="-47"/>
        </w:rPr>
        <w:t xml:space="preserve"> </w:t>
      </w:r>
      <w:r>
        <w:rPr>
          <w:rFonts w:ascii="宋体" w:hAnsi="宋体" w:cs="宋体"/>
          <w:spacing w:val="-2"/>
        </w:rPr>
        <w:t>25%（含</w:t>
      </w:r>
      <w:r>
        <w:rPr>
          <w:rFonts w:ascii="宋体" w:hAnsi="宋体" w:cs="宋体"/>
          <w:spacing w:val="-47"/>
        </w:rPr>
        <w:t xml:space="preserve"> </w:t>
      </w:r>
      <w:r>
        <w:rPr>
          <w:rFonts w:ascii="宋体" w:hAnsi="宋体" w:cs="宋体"/>
          <w:spacing w:val="-2"/>
        </w:rPr>
        <w:t>25%</w:t>
      </w:r>
      <w:r>
        <w:rPr>
          <w:rFonts w:ascii="宋体" w:hAnsi="宋体" w:cs="宋体"/>
          <w:spacing w:val="11"/>
        </w:rPr>
        <w:t>），</w:t>
      </w:r>
      <w:r>
        <w:rPr>
          <w:rFonts w:ascii="宋体" w:hAnsi="宋体" w:cs="宋体"/>
          <w:spacing w:val="-2"/>
        </w:rPr>
        <w:t>并且</w:t>
      </w:r>
      <w:r>
        <w:rPr>
          <w:rFonts w:ascii="宋体" w:hAnsi="宋体" w:cs="宋体"/>
          <w:spacing w:val="-5"/>
        </w:rPr>
        <w:t>安置的残疾人人数不少于</w:t>
      </w:r>
      <w:r>
        <w:rPr>
          <w:rFonts w:ascii="宋体" w:hAnsi="宋体" w:cs="宋体"/>
          <w:spacing w:val="-32"/>
        </w:rPr>
        <w:t xml:space="preserve"> </w:t>
      </w:r>
      <w:r>
        <w:rPr>
          <w:rFonts w:ascii="宋体" w:hAnsi="宋体" w:cs="宋体"/>
          <w:spacing w:val="-5"/>
        </w:rPr>
        <w:t>10</w:t>
      </w:r>
      <w:r>
        <w:rPr>
          <w:rFonts w:ascii="宋体" w:hAnsi="宋体" w:cs="宋体"/>
          <w:spacing w:val="-49"/>
        </w:rPr>
        <w:t xml:space="preserve"> </w:t>
      </w:r>
      <w:r>
        <w:rPr>
          <w:rFonts w:ascii="宋体" w:hAnsi="宋体" w:cs="宋体"/>
          <w:spacing w:val="-5"/>
        </w:rPr>
        <w:t>人（含</w:t>
      </w:r>
      <w:r>
        <w:rPr>
          <w:rFonts w:ascii="宋体" w:hAnsi="宋体" w:cs="宋体"/>
          <w:spacing w:val="-33"/>
        </w:rPr>
        <w:t xml:space="preserve"> </w:t>
      </w:r>
      <w:r>
        <w:rPr>
          <w:rFonts w:ascii="宋体" w:hAnsi="宋体" w:cs="宋体"/>
          <w:spacing w:val="-5"/>
        </w:rPr>
        <w:t>10</w:t>
      </w:r>
      <w:r>
        <w:rPr>
          <w:rFonts w:ascii="宋体" w:hAnsi="宋体" w:cs="宋体"/>
          <w:spacing w:val="-49"/>
        </w:rPr>
        <w:t xml:space="preserve"> </w:t>
      </w:r>
      <w:r>
        <w:rPr>
          <w:rFonts w:ascii="宋体" w:hAnsi="宋体" w:cs="宋体"/>
          <w:spacing w:val="-5"/>
        </w:rPr>
        <w:t>人</w:t>
      </w:r>
      <w:r>
        <w:rPr>
          <w:rFonts w:ascii="宋体" w:hAnsi="宋体" w:cs="宋体"/>
          <w:spacing w:val="1"/>
        </w:rPr>
        <w:t>）；</w:t>
      </w:r>
    </w:p>
    <w:p w14:paraId="38C27582">
      <w:pPr>
        <w:spacing w:line="360" w:lineRule="auto"/>
        <w:ind w:firstLine="408" w:firstLineChars="200"/>
        <w:rPr>
          <w:rFonts w:ascii="宋体" w:hAnsi="宋体" w:cs="宋体"/>
        </w:rPr>
      </w:pPr>
      <w:r>
        <w:rPr>
          <w:rFonts w:ascii="宋体" w:hAnsi="宋体" w:cs="宋体"/>
          <w:spacing w:val="-3"/>
        </w:rPr>
        <w:t>（二）依法与安置的每位残疾人签订了一年以上（含一</w:t>
      </w:r>
      <w:r>
        <w:rPr>
          <w:rFonts w:ascii="宋体" w:hAnsi="宋体" w:cs="宋体"/>
          <w:spacing w:val="-4"/>
        </w:rPr>
        <w:t>年）的劳动合同或服务协</w:t>
      </w:r>
      <w:r>
        <w:rPr>
          <w:rFonts w:ascii="宋体" w:hAnsi="宋体" w:cs="宋体"/>
          <w:spacing w:val="-6"/>
        </w:rPr>
        <w:t>议；</w:t>
      </w:r>
    </w:p>
    <w:p w14:paraId="44FD07E3">
      <w:pPr>
        <w:spacing w:line="360" w:lineRule="auto"/>
        <w:ind w:firstLine="408" w:firstLineChars="200"/>
        <w:rPr>
          <w:rFonts w:ascii="宋体" w:hAnsi="宋体" w:cs="宋体"/>
        </w:rPr>
      </w:pPr>
      <w:r>
        <w:rPr>
          <w:rFonts w:ascii="宋体" w:hAnsi="宋体" w:cs="宋体"/>
          <w:spacing w:val="-3"/>
        </w:rPr>
        <w:t>（三）为安置的每位残疾人按月足额缴纳了基本养老保</w:t>
      </w:r>
      <w:r>
        <w:rPr>
          <w:rFonts w:ascii="宋体" w:hAnsi="宋体" w:cs="宋体"/>
          <w:spacing w:val="-4"/>
        </w:rPr>
        <w:t>险、基本医疗保险、失业</w:t>
      </w:r>
      <w:r>
        <w:rPr>
          <w:rFonts w:ascii="宋体" w:hAnsi="宋体" w:cs="宋体"/>
          <w:spacing w:val="-1"/>
        </w:rPr>
        <w:t>保险、工伤保险和生育保险等社会保险费；</w:t>
      </w:r>
    </w:p>
    <w:p w14:paraId="44EF5658">
      <w:pPr>
        <w:spacing w:line="360" w:lineRule="auto"/>
        <w:ind w:firstLine="408" w:firstLineChars="200"/>
        <w:rPr>
          <w:rFonts w:ascii="宋体" w:hAnsi="宋体" w:cs="宋体"/>
        </w:rPr>
      </w:pPr>
      <w:r>
        <w:rPr>
          <w:rFonts w:ascii="宋体" w:hAnsi="宋体" w:cs="宋体"/>
          <w:spacing w:val="-3"/>
        </w:rPr>
        <w:t>（四）通过银行等金融机构向安置的每位残疾人，按月</w:t>
      </w:r>
      <w:r>
        <w:rPr>
          <w:rFonts w:ascii="宋体" w:hAnsi="宋体" w:cs="宋体"/>
          <w:spacing w:val="-4"/>
        </w:rPr>
        <w:t>支付了不低于单位所在区</w:t>
      </w:r>
      <w:r>
        <w:rPr>
          <w:rFonts w:ascii="宋体" w:hAnsi="宋体" w:cs="宋体"/>
          <w:spacing w:val="-1"/>
        </w:rPr>
        <w:t>县适用的经省级人民政府批准的月最低工资标准的工资；</w:t>
      </w:r>
    </w:p>
    <w:p w14:paraId="7B70D869">
      <w:pPr>
        <w:spacing w:line="360" w:lineRule="auto"/>
        <w:ind w:firstLine="408" w:firstLineChars="200"/>
        <w:rPr>
          <w:rFonts w:ascii="宋体" w:hAnsi="宋体" w:cs="宋体"/>
        </w:rPr>
      </w:pPr>
      <w:r>
        <w:rPr>
          <w:rFonts w:ascii="宋体" w:hAnsi="宋体" w:cs="宋体"/>
          <w:spacing w:val="-3"/>
        </w:rPr>
        <w:t>（五）提供本单位制造的货物、承担的工程或者服务（以下简称产品</w:t>
      </w:r>
      <w:r>
        <w:rPr>
          <w:rFonts w:ascii="宋体" w:hAnsi="宋体" w:cs="宋体"/>
          <w:spacing w:val="-9"/>
        </w:rPr>
        <w:t>），</w:t>
      </w:r>
      <w:r>
        <w:rPr>
          <w:rFonts w:ascii="宋体" w:hAnsi="宋体" w:cs="宋体"/>
          <w:spacing w:val="-3"/>
        </w:rPr>
        <w:t>或者提供其他残疾人福利性单位制造的货物（不包括使用非残疾人福利性单位注册商标</w:t>
      </w:r>
      <w:r>
        <w:rPr>
          <w:rFonts w:ascii="宋体" w:hAnsi="宋体" w:cs="宋体"/>
          <w:spacing w:val="-6"/>
        </w:rPr>
        <w:t>的货物）。</w:t>
      </w:r>
    </w:p>
    <w:p w14:paraId="4957AE4D">
      <w:pPr>
        <w:spacing w:line="360" w:lineRule="auto"/>
        <w:ind w:firstLine="426" w:firstLineChars="200"/>
        <w:rPr>
          <w:rFonts w:ascii="宋体" w:hAnsi="宋体" w:cs="宋体"/>
        </w:rPr>
      </w:pPr>
      <w:r>
        <w:rPr>
          <w:rFonts w:ascii="宋体" w:hAnsi="宋体" w:cs="宋体"/>
          <w:b/>
          <w:bCs/>
          <w:spacing w:val="1"/>
        </w:rPr>
        <w:t>注意：如果供应商不是残疾人福利性单位，则不需要提供《残疾人福利性单位</w:t>
      </w:r>
      <w:r>
        <w:rPr>
          <w:rFonts w:ascii="宋体" w:hAnsi="宋体" w:cs="宋体"/>
          <w:spacing w:val="13"/>
        </w:rPr>
        <w:t xml:space="preserve"> </w:t>
      </w:r>
      <w:r>
        <w:rPr>
          <w:rFonts w:ascii="宋体" w:hAnsi="宋体" w:cs="宋体"/>
          <w:b/>
          <w:bCs/>
          <w:spacing w:val="-2"/>
        </w:rPr>
        <w:t>声明函》。否则，因此导致虚假投标的后果由供应</w:t>
      </w:r>
      <w:r>
        <w:rPr>
          <w:rFonts w:ascii="宋体" w:hAnsi="宋体" w:cs="宋体"/>
          <w:b/>
          <w:bCs/>
          <w:spacing w:val="-3"/>
        </w:rPr>
        <w:t>商自行承担。</w:t>
      </w:r>
    </w:p>
    <w:p w14:paraId="621BE17E">
      <w:pPr>
        <w:spacing w:line="360" w:lineRule="auto"/>
        <w:ind w:firstLine="420" w:firstLineChars="200"/>
        <w:rPr>
          <w:rFonts w:ascii="宋体" w:hAnsi="宋体" w:cs="宋体"/>
        </w:rPr>
        <w:sectPr>
          <w:footerReference r:id="rId21" w:type="default"/>
          <w:pgSz w:w="11906" w:h="16838"/>
          <w:pgMar w:top="1701" w:right="1531" w:bottom="1531" w:left="1531" w:header="0" w:footer="986" w:gutter="0"/>
          <w:cols w:space="0" w:num="1"/>
        </w:sectPr>
      </w:pPr>
    </w:p>
    <w:p w14:paraId="0F3A2B70">
      <w:pPr>
        <w:spacing w:line="360" w:lineRule="auto"/>
        <w:jc w:val="center"/>
        <w:rPr>
          <w:b/>
          <w:bCs/>
          <w:sz w:val="28"/>
          <w:szCs w:val="28"/>
        </w:rPr>
      </w:pPr>
      <w:bookmarkStart w:id="792" w:name="bookmark107"/>
      <w:bookmarkEnd w:id="792"/>
      <w:bookmarkStart w:id="793" w:name="bookmark108"/>
      <w:bookmarkEnd w:id="793"/>
      <w:r>
        <w:rPr>
          <w:rFonts w:hint="eastAsia"/>
          <w:b/>
          <w:bCs/>
          <w:sz w:val="28"/>
          <w:szCs w:val="28"/>
        </w:rPr>
        <w:t>十三、反商业贿赂承诺书</w:t>
      </w:r>
    </w:p>
    <w:p w14:paraId="5E719B06">
      <w:pPr>
        <w:spacing w:before="78" w:line="219" w:lineRule="auto"/>
        <w:ind w:left="25"/>
        <w:rPr>
          <w:rFonts w:ascii="宋体" w:hAnsi="宋体" w:cs="宋体"/>
          <w:sz w:val="24"/>
          <w:szCs w:val="24"/>
        </w:rPr>
      </w:pPr>
      <w:r>
        <w:rPr>
          <w:rFonts w:ascii="宋体" w:hAnsi="宋体" w:cs="宋体"/>
          <w:spacing w:val="-2"/>
          <w:sz w:val="24"/>
          <w:szCs w:val="24"/>
        </w:rPr>
        <w:t>我公司承诺：</w:t>
      </w:r>
    </w:p>
    <w:p w14:paraId="0CA6805B">
      <w:pPr>
        <w:spacing w:before="314" w:line="219" w:lineRule="auto"/>
        <w:ind w:left="502"/>
        <w:rPr>
          <w:rFonts w:ascii="宋体" w:hAnsi="宋体" w:cs="宋体"/>
          <w:sz w:val="24"/>
          <w:szCs w:val="24"/>
        </w:rPr>
      </w:pPr>
      <w:r>
        <w:rPr>
          <w:rFonts w:ascii="宋体" w:hAnsi="宋体" w:cs="宋体"/>
          <w:spacing w:val="-1"/>
          <w:sz w:val="24"/>
          <w:szCs w:val="24"/>
        </w:rPr>
        <w:t>在本次磋商活动中，我公司保证做到：</w:t>
      </w:r>
    </w:p>
    <w:p w14:paraId="007BA958">
      <w:pPr>
        <w:spacing w:before="315" w:line="219" w:lineRule="auto"/>
        <w:ind w:left="507"/>
        <w:rPr>
          <w:rFonts w:ascii="宋体" w:hAnsi="宋体" w:cs="宋体"/>
          <w:sz w:val="24"/>
          <w:szCs w:val="24"/>
        </w:rPr>
      </w:pPr>
      <w:r>
        <w:rPr>
          <w:rFonts w:ascii="宋体" w:hAnsi="宋体" w:cs="宋体"/>
          <w:spacing w:val="-1"/>
          <w:sz w:val="24"/>
          <w:szCs w:val="24"/>
        </w:rPr>
        <w:t>一、公平竞争参加本次磋商活动。</w:t>
      </w:r>
    </w:p>
    <w:p w14:paraId="4312F41C">
      <w:pPr>
        <w:spacing w:before="315" w:line="455" w:lineRule="auto"/>
        <w:ind w:left="22" w:firstLine="484"/>
        <w:rPr>
          <w:rFonts w:ascii="宋体" w:hAnsi="宋体" w:cs="宋体"/>
          <w:sz w:val="24"/>
          <w:szCs w:val="24"/>
        </w:rPr>
      </w:pPr>
      <w:r>
        <w:rPr>
          <w:rFonts w:ascii="宋体" w:hAnsi="宋体" w:cs="宋体"/>
          <w:spacing w:val="-3"/>
          <w:sz w:val="24"/>
          <w:szCs w:val="24"/>
        </w:rPr>
        <w:t>二、杜绝任何形式的商业贿赂行为。不向国家工作人员</w:t>
      </w:r>
      <w:r>
        <w:rPr>
          <w:rFonts w:ascii="宋体" w:hAnsi="宋体" w:cs="宋体"/>
          <w:spacing w:val="-4"/>
          <w:sz w:val="24"/>
          <w:szCs w:val="24"/>
        </w:rPr>
        <w:t>、政府采购代理机构</w:t>
      </w:r>
      <w:r>
        <w:rPr>
          <w:rFonts w:ascii="宋体" w:hAnsi="宋体" w:cs="宋体"/>
          <w:spacing w:val="-1"/>
          <w:sz w:val="24"/>
          <w:szCs w:val="24"/>
        </w:rPr>
        <w:t>工作人员、评审专家及其亲属提供礼品礼金、</w:t>
      </w:r>
      <w:r>
        <w:rPr>
          <w:rFonts w:ascii="宋体" w:hAnsi="宋体" w:cs="宋体"/>
          <w:spacing w:val="-2"/>
          <w:sz w:val="24"/>
          <w:szCs w:val="24"/>
        </w:rPr>
        <w:t>有价证券、购物券、回扣、佣金、</w:t>
      </w:r>
      <w:r>
        <w:rPr>
          <w:rFonts w:ascii="宋体" w:hAnsi="宋体" w:cs="宋体"/>
          <w:spacing w:val="-3"/>
          <w:sz w:val="24"/>
          <w:szCs w:val="24"/>
        </w:rPr>
        <w:t>咨询费、劳务费、赞助费、宣传费、宴请；不为其报销各种消费凭证，不支付其</w:t>
      </w:r>
      <w:r>
        <w:rPr>
          <w:rFonts w:ascii="宋体" w:hAnsi="宋体" w:cs="宋体"/>
          <w:spacing w:val="-1"/>
          <w:sz w:val="24"/>
          <w:szCs w:val="24"/>
        </w:rPr>
        <w:t>旅游、娱乐等费用。</w:t>
      </w:r>
    </w:p>
    <w:p w14:paraId="0B9B6449">
      <w:pPr>
        <w:spacing w:before="35" w:line="448" w:lineRule="auto"/>
        <w:ind w:left="24" w:right="53" w:firstLine="479"/>
        <w:rPr>
          <w:rFonts w:ascii="宋体" w:hAnsi="宋体" w:cs="宋体"/>
          <w:sz w:val="24"/>
          <w:szCs w:val="24"/>
        </w:rPr>
      </w:pPr>
      <w:r>
        <w:rPr>
          <w:rFonts w:ascii="宋体" w:hAnsi="宋体" w:cs="宋体"/>
          <w:spacing w:val="-3"/>
          <w:sz w:val="24"/>
          <w:szCs w:val="24"/>
        </w:rPr>
        <w:t>三、若出现上述行为，我公司及参与磋商的工作人员愿意接受按</w:t>
      </w:r>
      <w:r>
        <w:rPr>
          <w:rFonts w:ascii="宋体" w:hAnsi="宋体" w:cs="宋体"/>
          <w:spacing w:val="-4"/>
          <w:sz w:val="24"/>
          <w:szCs w:val="24"/>
        </w:rPr>
        <w:t>照国家法律</w:t>
      </w:r>
      <w:r>
        <w:rPr>
          <w:rFonts w:ascii="宋体" w:hAnsi="宋体" w:cs="宋体"/>
          <w:spacing w:val="-1"/>
          <w:sz w:val="24"/>
          <w:szCs w:val="24"/>
        </w:rPr>
        <w:t>法规等有关规定给予的处罚。</w:t>
      </w:r>
    </w:p>
    <w:p w14:paraId="11813E82">
      <w:pPr>
        <w:pStyle w:val="9"/>
        <w:spacing w:line="287" w:lineRule="auto"/>
      </w:pPr>
    </w:p>
    <w:p w14:paraId="248F74C6">
      <w:pPr>
        <w:pStyle w:val="9"/>
        <w:spacing w:line="287" w:lineRule="auto"/>
      </w:pPr>
    </w:p>
    <w:p w14:paraId="631A0B75">
      <w:pPr>
        <w:pStyle w:val="9"/>
        <w:spacing w:line="287" w:lineRule="auto"/>
      </w:pPr>
    </w:p>
    <w:p w14:paraId="05AB803B">
      <w:pPr>
        <w:pStyle w:val="9"/>
        <w:spacing w:line="287" w:lineRule="auto"/>
      </w:pPr>
    </w:p>
    <w:p w14:paraId="54FA5DFA">
      <w:pPr>
        <w:spacing w:line="360" w:lineRule="auto"/>
        <w:jc w:val="right"/>
        <w:rPr>
          <w:rFonts w:asciiTheme="minorEastAsia" w:hAnsiTheme="minorEastAsia" w:eastAsiaTheme="minorEastAsia" w:cstheme="minorEastAsia"/>
          <w:sz w:val="24"/>
          <w:szCs w:val="24"/>
        </w:rPr>
      </w:pPr>
      <w:bookmarkStart w:id="794" w:name="bookmark110"/>
      <w:bookmarkEnd w:id="794"/>
      <w:bookmarkStart w:id="795" w:name="bookmark109"/>
      <w:bookmarkEnd w:id="795"/>
      <w:r>
        <w:rPr>
          <w:rFonts w:hint="eastAsia" w:asciiTheme="minorEastAsia" w:hAnsiTheme="minorEastAsia" w:eastAsiaTheme="minorEastAsia" w:cstheme="minorEastAsia"/>
          <w:spacing w:val="10"/>
          <w:sz w:val="24"/>
          <w:szCs w:val="24"/>
        </w:rPr>
        <w:t>供应商</w:t>
      </w:r>
      <w:r>
        <w:rPr>
          <w:rFonts w:hint="eastAsia" w:asciiTheme="minorEastAsia" w:hAnsiTheme="minorEastAsia" w:eastAsiaTheme="minorEastAsia" w:cstheme="minorEastAsia"/>
          <w:spacing w:val="-35"/>
          <w:w w:val="6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企业电子签章或盖章）</w:t>
      </w:r>
    </w:p>
    <w:p w14:paraId="0B1D4632">
      <w:pPr>
        <w:spacing w:line="360" w:lineRule="auto"/>
        <w:jc w:val="righ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50"/>
          <w:w w:val="93"/>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个人电子签章或盖章或签</w:t>
      </w:r>
      <w:r>
        <w:rPr>
          <w:rFonts w:hint="eastAsia" w:asciiTheme="minorEastAsia" w:hAnsiTheme="minorEastAsia" w:eastAsiaTheme="minorEastAsia" w:cstheme="minorEastAsia"/>
          <w:spacing w:val="9"/>
          <w:sz w:val="24"/>
          <w:szCs w:val="24"/>
        </w:rPr>
        <w:t>字）</w:t>
      </w:r>
    </w:p>
    <w:p w14:paraId="289E41DE">
      <w:pPr>
        <w:spacing w:line="360" w:lineRule="auto"/>
        <w:ind w:firstLine="4500" w:firstLineChars="1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日</w:t>
      </w:r>
    </w:p>
    <w:p w14:paraId="5169EB62">
      <w:pPr>
        <w:rPr>
          <w:b/>
          <w:bCs/>
          <w:sz w:val="28"/>
          <w:szCs w:val="28"/>
        </w:rPr>
      </w:pPr>
      <w:r>
        <w:rPr>
          <w:rFonts w:hint="eastAsia"/>
          <w:b/>
          <w:bCs/>
          <w:sz w:val="28"/>
          <w:szCs w:val="28"/>
        </w:rPr>
        <w:br w:type="page"/>
      </w:r>
    </w:p>
    <w:p w14:paraId="23F8AC0F">
      <w:pPr>
        <w:spacing w:line="360" w:lineRule="auto"/>
        <w:jc w:val="center"/>
        <w:rPr>
          <w:rFonts w:ascii="楷体" w:hAnsi="楷体" w:eastAsia="楷体" w:cs="楷体"/>
        </w:rPr>
      </w:pPr>
      <w:r>
        <w:rPr>
          <w:rFonts w:hint="eastAsia"/>
          <w:b/>
          <w:bCs/>
          <w:sz w:val="28"/>
          <w:szCs w:val="28"/>
        </w:rPr>
        <w:t>十四、供应商认为需要提供的其他资料</w:t>
      </w:r>
    </w:p>
    <w:sectPr>
      <w:headerReference r:id="rId22" w:type="default"/>
      <w:footerReference r:id="rId23" w:type="default"/>
      <w:pgSz w:w="11906" w:h="16838"/>
      <w:pgMar w:top="1701" w:right="1531" w:bottom="1531" w:left="1531" w:header="0" w:footer="986" w:gutter="0"/>
      <w:cols w:space="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3900">
    <w:pPr>
      <w:spacing w:line="169" w:lineRule="auto"/>
      <w:jc w:val="center"/>
      <w:rPr>
        <w:rFonts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974B3">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6974B3">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BDF6">
    <w:pPr>
      <w:spacing w:line="167" w:lineRule="auto"/>
      <w:ind w:left="4083"/>
      <w:rPr>
        <w:rFonts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46484">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4F46484">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64AB4">
    <w:pPr>
      <w:spacing w:line="169" w:lineRule="auto"/>
      <w:ind w:left="4182"/>
      <w:rPr>
        <w:rFonts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0ACDD">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440ACDD">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4EBB">
    <w:pPr>
      <w:spacing w:line="169" w:lineRule="auto"/>
      <w:ind w:left="4182"/>
      <w:rPr>
        <w:rFonts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19C72">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D919C72">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55B8">
    <w:pPr>
      <w:spacing w:line="169" w:lineRule="auto"/>
      <w:ind w:left="4182"/>
      <w:rPr>
        <w:rFonts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0DF04">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DE0DF04">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00F7">
    <w:pPr>
      <w:spacing w:line="169" w:lineRule="auto"/>
      <w:ind w:left="4084"/>
      <w:rPr>
        <w:rFonts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33CC">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FA733CC">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A003">
    <w:pPr>
      <w:spacing w:line="169" w:lineRule="auto"/>
      <w:ind w:left="4084"/>
      <w:rPr>
        <w:rFonts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3E960">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923E960">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C809">
    <w:pPr>
      <w:spacing w:line="169" w:lineRule="auto"/>
      <w:ind w:left="4182"/>
      <w:rPr>
        <w:rFonts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00546">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9900546">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F68D">
    <w:pPr>
      <w:spacing w:line="169" w:lineRule="auto"/>
      <w:ind w:left="4182"/>
      <w:rPr>
        <w:rFonts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2EEA">
                          <w:pPr>
                            <w:pStyle w:val="1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7B392EEA">
                    <w:pPr>
                      <w:pStyle w:val="1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11D2">
    <w:pPr>
      <w:spacing w:line="169" w:lineRule="auto"/>
      <w:ind w:left="4084"/>
      <w:rPr>
        <w:rFonts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1FEFA">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7F1FEFA">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4110">
    <w:pPr>
      <w:spacing w:line="169" w:lineRule="auto"/>
      <w:ind w:left="4084"/>
      <w:rPr>
        <w:rFonts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D2676">
                          <w:pPr>
                            <w:pStyle w:val="1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373D2676">
                    <w:pPr>
                      <w:pStyle w:val="1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CCD3">
    <w:pPr>
      <w:spacing w:line="169" w:lineRule="auto"/>
      <w:ind w:left="4079"/>
      <w:rPr>
        <w:rFonts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F4704">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6F4704">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BC95">
    <w:pPr>
      <w:pStyle w:val="15"/>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C59A0">
                          <w:pPr>
                            <w:pStyle w:val="15"/>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26C59A0">
                    <w:pPr>
                      <w:pStyle w:val="15"/>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1578">
    <w:pPr>
      <w:spacing w:line="169" w:lineRule="auto"/>
      <w:ind w:left="4079"/>
      <w:rPr>
        <w:rFonts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EF5B">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4A1EF5B">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0D92">
    <w:pPr>
      <w:spacing w:line="168" w:lineRule="auto"/>
      <w:ind w:left="4079"/>
      <w:rPr>
        <w:rFonts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48DD5">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1148DD5">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1ADB">
    <w:pPr>
      <w:pStyle w:val="9"/>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66B14">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0966B14">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31FD">
    <w:pPr>
      <w:spacing w:line="169" w:lineRule="auto"/>
      <w:ind w:left="4083"/>
      <w:rPr>
        <w:rFonts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621E7">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1B621E7">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8F9AD">
    <w:pPr>
      <w:spacing w:line="169" w:lineRule="auto"/>
      <w:ind w:left="4083"/>
      <w:rPr>
        <w:rFonts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C5797">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10C5797">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916">
    <w:pPr>
      <w:spacing w:line="168" w:lineRule="auto"/>
      <w:ind w:left="4290"/>
      <w:rPr>
        <w:rFonts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F140B">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1EF140B">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51247">
    <w:pPr>
      <w:spacing w:line="167" w:lineRule="auto"/>
      <w:ind w:left="4182"/>
      <w:rPr>
        <w:rFonts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FFBAE">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9FFBAE">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FF24">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D08EA"/>
    <w:multiLevelType w:val="singleLevel"/>
    <w:tmpl w:val="C16D08EA"/>
    <w:lvl w:ilvl="0" w:tentative="0">
      <w:start w:val="1"/>
      <w:numFmt w:val="decimal"/>
      <w:suff w:val="nothing"/>
      <w:lvlText w:val="%1、"/>
      <w:lvlJc w:val="left"/>
    </w:lvl>
  </w:abstractNum>
  <w:abstractNum w:abstractNumId="1">
    <w:nsid w:val="DCC58821"/>
    <w:multiLevelType w:val="singleLevel"/>
    <w:tmpl w:val="DCC58821"/>
    <w:lvl w:ilvl="0" w:tentative="0">
      <w:start w:val="1"/>
      <w:numFmt w:val="decimal"/>
      <w:lvlText w:val="%1."/>
      <w:lvlJc w:val="left"/>
      <w:pPr>
        <w:tabs>
          <w:tab w:val="left" w:pos="312"/>
        </w:tabs>
      </w:pPr>
    </w:lvl>
  </w:abstractNum>
  <w:abstractNum w:abstractNumId="2">
    <w:nsid w:val="FDDA0744"/>
    <w:multiLevelType w:val="singleLevel"/>
    <w:tmpl w:val="FDDA0744"/>
    <w:lvl w:ilvl="0" w:tentative="0">
      <w:start w:val="1"/>
      <w:numFmt w:val="chineseCounting"/>
      <w:suff w:val="nothing"/>
      <w:lvlText w:val="%1、"/>
      <w:lvlJc w:val="left"/>
      <w:rPr>
        <w:rFonts w:hint="eastAsia"/>
      </w:rPr>
    </w:lvl>
  </w:abstractNum>
  <w:abstractNum w:abstractNumId="3">
    <w:nsid w:val="46693CE8"/>
    <w:multiLevelType w:val="singleLevel"/>
    <w:tmpl w:val="46693CE8"/>
    <w:lvl w:ilvl="0" w:tentative="0">
      <w:start w:val="1"/>
      <w:numFmt w:val="chineseCounting"/>
      <w:pStyle w:val="2"/>
      <w:suff w:val="nothing"/>
      <w:lvlText w:val="%1、"/>
      <w:lvlJc w:val="left"/>
      <w:pPr>
        <w:ind w:left="0" w:firstLine="420"/>
      </w:pPr>
      <w:rPr>
        <w:rFonts w:hint="eastAsia"/>
      </w:rPr>
    </w:lvl>
  </w:abstractNum>
  <w:abstractNum w:abstractNumId="4">
    <w:nsid w:val="54583B91"/>
    <w:multiLevelType w:val="singleLevel"/>
    <w:tmpl w:val="54583B91"/>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Dc4YTQwZGRjYmMxZGRiMTg5NjI3YzU0NjY4MTAifQ=="/>
  </w:docVars>
  <w:rsids>
    <w:rsidRoot w:val="210B0AAD"/>
    <w:rsid w:val="000F26DD"/>
    <w:rsid w:val="003D21B2"/>
    <w:rsid w:val="00476A30"/>
    <w:rsid w:val="00497811"/>
    <w:rsid w:val="004D6550"/>
    <w:rsid w:val="00721748"/>
    <w:rsid w:val="00824069"/>
    <w:rsid w:val="008D24A1"/>
    <w:rsid w:val="008E2A0E"/>
    <w:rsid w:val="008F5B72"/>
    <w:rsid w:val="00902C2A"/>
    <w:rsid w:val="00A34A9A"/>
    <w:rsid w:val="00A40483"/>
    <w:rsid w:val="00B03688"/>
    <w:rsid w:val="00BE17C6"/>
    <w:rsid w:val="00CE72AE"/>
    <w:rsid w:val="00E1286F"/>
    <w:rsid w:val="00F60C33"/>
    <w:rsid w:val="00FC4D52"/>
    <w:rsid w:val="017D726E"/>
    <w:rsid w:val="01830099"/>
    <w:rsid w:val="01CF7782"/>
    <w:rsid w:val="01DF49B0"/>
    <w:rsid w:val="01DF79C5"/>
    <w:rsid w:val="01EA0118"/>
    <w:rsid w:val="01F8010F"/>
    <w:rsid w:val="0297204E"/>
    <w:rsid w:val="02B81FC4"/>
    <w:rsid w:val="02BD7169"/>
    <w:rsid w:val="02D36DFE"/>
    <w:rsid w:val="03031491"/>
    <w:rsid w:val="03140DA8"/>
    <w:rsid w:val="031C69F7"/>
    <w:rsid w:val="032A1114"/>
    <w:rsid w:val="032B7DBE"/>
    <w:rsid w:val="038500F8"/>
    <w:rsid w:val="043D4E77"/>
    <w:rsid w:val="043E6DE9"/>
    <w:rsid w:val="04644185"/>
    <w:rsid w:val="046E6DDE"/>
    <w:rsid w:val="048125C2"/>
    <w:rsid w:val="0482288A"/>
    <w:rsid w:val="048E122E"/>
    <w:rsid w:val="04C133B2"/>
    <w:rsid w:val="052120A3"/>
    <w:rsid w:val="05341DD6"/>
    <w:rsid w:val="05445D91"/>
    <w:rsid w:val="055B3806"/>
    <w:rsid w:val="05A54A82"/>
    <w:rsid w:val="05B60A3D"/>
    <w:rsid w:val="05CB200E"/>
    <w:rsid w:val="06426774"/>
    <w:rsid w:val="06620BC5"/>
    <w:rsid w:val="06772149"/>
    <w:rsid w:val="06E72E78"/>
    <w:rsid w:val="06EB2968"/>
    <w:rsid w:val="06F73B8C"/>
    <w:rsid w:val="07043A2A"/>
    <w:rsid w:val="078A03D3"/>
    <w:rsid w:val="079010E3"/>
    <w:rsid w:val="07A35313"/>
    <w:rsid w:val="07A70F85"/>
    <w:rsid w:val="07C37441"/>
    <w:rsid w:val="07F12200"/>
    <w:rsid w:val="07FC2953"/>
    <w:rsid w:val="0873713C"/>
    <w:rsid w:val="08744BDF"/>
    <w:rsid w:val="08F71A98"/>
    <w:rsid w:val="091C6797"/>
    <w:rsid w:val="092A4C8C"/>
    <w:rsid w:val="09615163"/>
    <w:rsid w:val="09722ECD"/>
    <w:rsid w:val="097529BD"/>
    <w:rsid w:val="09C474A0"/>
    <w:rsid w:val="09CB082F"/>
    <w:rsid w:val="09EE3860"/>
    <w:rsid w:val="0A0C3321"/>
    <w:rsid w:val="0A1173F6"/>
    <w:rsid w:val="0A187F18"/>
    <w:rsid w:val="0A1B5312"/>
    <w:rsid w:val="0A222B45"/>
    <w:rsid w:val="0A4216F7"/>
    <w:rsid w:val="0A960E3D"/>
    <w:rsid w:val="0AD025A1"/>
    <w:rsid w:val="0AFD0EBC"/>
    <w:rsid w:val="0B107A25"/>
    <w:rsid w:val="0B112BB9"/>
    <w:rsid w:val="0B300371"/>
    <w:rsid w:val="0B4C599F"/>
    <w:rsid w:val="0B4F69FF"/>
    <w:rsid w:val="0B955598"/>
    <w:rsid w:val="0B980BE5"/>
    <w:rsid w:val="0BA852CC"/>
    <w:rsid w:val="0BA94BA0"/>
    <w:rsid w:val="0BB35A1E"/>
    <w:rsid w:val="0BC35C62"/>
    <w:rsid w:val="0BD0037E"/>
    <w:rsid w:val="0BF56037"/>
    <w:rsid w:val="0C0F0EA7"/>
    <w:rsid w:val="0C322DE7"/>
    <w:rsid w:val="0C3F3F99"/>
    <w:rsid w:val="0C6454DC"/>
    <w:rsid w:val="0C741652"/>
    <w:rsid w:val="0C882A07"/>
    <w:rsid w:val="0CA91191"/>
    <w:rsid w:val="0CB97065"/>
    <w:rsid w:val="0D0526C0"/>
    <w:rsid w:val="0D231725"/>
    <w:rsid w:val="0D240982"/>
    <w:rsid w:val="0D4B23B2"/>
    <w:rsid w:val="0D5E339D"/>
    <w:rsid w:val="0D6E7E4F"/>
    <w:rsid w:val="0D7C07BE"/>
    <w:rsid w:val="0DA616C5"/>
    <w:rsid w:val="0DC7755F"/>
    <w:rsid w:val="0DD8176C"/>
    <w:rsid w:val="0DDA3736"/>
    <w:rsid w:val="0DE85E53"/>
    <w:rsid w:val="0DFA5B87"/>
    <w:rsid w:val="0E3B2B5B"/>
    <w:rsid w:val="0E53712E"/>
    <w:rsid w:val="0E881D0F"/>
    <w:rsid w:val="0E987497"/>
    <w:rsid w:val="0EA522B0"/>
    <w:rsid w:val="0ECF491D"/>
    <w:rsid w:val="0ED4462A"/>
    <w:rsid w:val="0F0F11BE"/>
    <w:rsid w:val="0F500A84"/>
    <w:rsid w:val="0F713C26"/>
    <w:rsid w:val="0F8751F8"/>
    <w:rsid w:val="0FCE1079"/>
    <w:rsid w:val="10150A56"/>
    <w:rsid w:val="10947BCD"/>
    <w:rsid w:val="117D2D56"/>
    <w:rsid w:val="119E39C9"/>
    <w:rsid w:val="11A622AD"/>
    <w:rsid w:val="12130FC5"/>
    <w:rsid w:val="12651123"/>
    <w:rsid w:val="12681311"/>
    <w:rsid w:val="128B3251"/>
    <w:rsid w:val="12E806A4"/>
    <w:rsid w:val="12F6691D"/>
    <w:rsid w:val="133643E8"/>
    <w:rsid w:val="136274CD"/>
    <w:rsid w:val="13763F01"/>
    <w:rsid w:val="139869E8"/>
    <w:rsid w:val="13E23345"/>
    <w:rsid w:val="141F1EA3"/>
    <w:rsid w:val="143A0A8B"/>
    <w:rsid w:val="14425B91"/>
    <w:rsid w:val="14535FF1"/>
    <w:rsid w:val="147A17CF"/>
    <w:rsid w:val="14D40792"/>
    <w:rsid w:val="156264EB"/>
    <w:rsid w:val="156F29B6"/>
    <w:rsid w:val="15747FCD"/>
    <w:rsid w:val="15761F97"/>
    <w:rsid w:val="158A5A42"/>
    <w:rsid w:val="158F3058"/>
    <w:rsid w:val="159266A5"/>
    <w:rsid w:val="15BC4156"/>
    <w:rsid w:val="15DB629E"/>
    <w:rsid w:val="162639BD"/>
    <w:rsid w:val="165F2A2B"/>
    <w:rsid w:val="166C5148"/>
    <w:rsid w:val="16B96089"/>
    <w:rsid w:val="16C14DF4"/>
    <w:rsid w:val="16D7443F"/>
    <w:rsid w:val="173C4B1A"/>
    <w:rsid w:val="17771FF6"/>
    <w:rsid w:val="1796247C"/>
    <w:rsid w:val="17A45FF4"/>
    <w:rsid w:val="17BB1EE3"/>
    <w:rsid w:val="180B77E6"/>
    <w:rsid w:val="18194E5B"/>
    <w:rsid w:val="18491BE4"/>
    <w:rsid w:val="185D2F9A"/>
    <w:rsid w:val="186E164B"/>
    <w:rsid w:val="18A62B93"/>
    <w:rsid w:val="18A84B5D"/>
    <w:rsid w:val="18B530E6"/>
    <w:rsid w:val="18C66D91"/>
    <w:rsid w:val="18C80D5B"/>
    <w:rsid w:val="18E15979"/>
    <w:rsid w:val="190478B9"/>
    <w:rsid w:val="190A1374"/>
    <w:rsid w:val="192D0BBE"/>
    <w:rsid w:val="19355CC5"/>
    <w:rsid w:val="19836A30"/>
    <w:rsid w:val="198F1879"/>
    <w:rsid w:val="19E65752"/>
    <w:rsid w:val="1A0F7B3F"/>
    <w:rsid w:val="1A6B4094"/>
    <w:rsid w:val="1A6D37B1"/>
    <w:rsid w:val="1A8567D8"/>
    <w:rsid w:val="1A974E89"/>
    <w:rsid w:val="1AA50C28"/>
    <w:rsid w:val="1AF04599"/>
    <w:rsid w:val="1B0847C1"/>
    <w:rsid w:val="1B140288"/>
    <w:rsid w:val="1B662AAD"/>
    <w:rsid w:val="1BBB6955"/>
    <w:rsid w:val="1BC51582"/>
    <w:rsid w:val="1BDE3DAC"/>
    <w:rsid w:val="1BE55780"/>
    <w:rsid w:val="1BEF2AA3"/>
    <w:rsid w:val="1C1B3898"/>
    <w:rsid w:val="1C5841A4"/>
    <w:rsid w:val="1C59115B"/>
    <w:rsid w:val="1CC279BA"/>
    <w:rsid w:val="1CDB6B83"/>
    <w:rsid w:val="1D2701CA"/>
    <w:rsid w:val="1D750D86"/>
    <w:rsid w:val="1D752B34"/>
    <w:rsid w:val="1D992CC6"/>
    <w:rsid w:val="1DC31AF1"/>
    <w:rsid w:val="1DEC6218"/>
    <w:rsid w:val="1DFA0933"/>
    <w:rsid w:val="1E17137F"/>
    <w:rsid w:val="1E28404A"/>
    <w:rsid w:val="1EB37DB8"/>
    <w:rsid w:val="1EC45B21"/>
    <w:rsid w:val="1ECE074D"/>
    <w:rsid w:val="1ECE2E43"/>
    <w:rsid w:val="1ED31627"/>
    <w:rsid w:val="1F417171"/>
    <w:rsid w:val="1F9D6372"/>
    <w:rsid w:val="1F9E2816"/>
    <w:rsid w:val="1FCA360B"/>
    <w:rsid w:val="1FD004F5"/>
    <w:rsid w:val="1FE32C6A"/>
    <w:rsid w:val="1FEA7809"/>
    <w:rsid w:val="1FFB37C4"/>
    <w:rsid w:val="204673F5"/>
    <w:rsid w:val="204C2272"/>
    <w:rsid w:val="207B2B57"/>
    <w:rsid w:val="20A26336"/>
    <w:rsid w:val="20AE30DC"/>
    <w:rsid w:val="20C0056A"/>
    <w:rsid w:val="20E26732"/>
    <w:rsid w:val="20E47C87"/>
    <w:rsid w:val="20FD7003"/>
    <w:rsid w:val="210B0AAD"/>
    <w:rsid w:val="211119FB"/>
    <w:rsid w:val="21374CD0"/>
    <w:rsid w:val="214E3D44"/>
    <w:rsid w:val="215B0293"/>
    <w:rsid w:val="21725D08"/>
    <w:rsid w:val="21751354"/>
    <w:rsid w:val="219263AA"/>
    <w:rsid w:val="219A0DBB"/>
    <w:rsid w:val="219C0FD7"/>
    <w:rsid w:val="21AB2FC8"/>
    <w:rsid w:val="21AD0AEE"/>
    <w:rsid w:val="21B55BF5"/>
    <w:rsid w:val="21D50045"/>
    <w:rsid w:val="21E32762"/>
    <w:rsid w:val="21F4496F"/>
    <w:rsid w:val="22396826"/>
    <w:rsid w:val="22484CBB"/>
    <w:rsid w:val="229C4BA6"/>
    <w:rsid w:val="22A55C69"/>
    <w:rsid w:val="22B45EAC"/>
    <w:rsid w:val="22F0338F"/>
    <w:rsid w:val="233314C7"/>
    <w:rsid w:val="235C0A1E"/>
    <w:rsid w:val="23767071"/>
    <w:rsid w:val="2378337E"/>
    <w:rsid w:val="237B2C13"/>
    <w:rsid w:val="238166D6"/>
    <w:rsid w:val="23F073B8"/>
    <w:rsid w:val="240C42B3"/>
    <w:rsid w:val="24747FE9"/>
    <w:rsid w:val="24AD52A9"/>
    <w:rsid w:val="24C30629"/>
    <w:rsid w:val="24C83E91"/>
    <w:rsid w:val="254A0D4A"/>
    <w:rsid w:val="255045B2"/>
    <w:rsid w:val="255641C8"/>
    <w:rsid w:val="257E7AD8"/>
    <w:rsid w:val="25891872"/>
    <w:rsid w:val="25A62424"/>
    <w:rsid w:val="25AD3509"/>
    <w:rsid w:val="25E82A3D"/>
    <w:rsid w:val="264920A0"/>
    <w:rsid w:val="265E4AAD"/>
    <w:rsid w:val="267442D0"/>
    <w:rsid w:val="268838D8"/>
    <w:rsid w:val="26887D7C"/>
    <w:rsid w:val="26971D6D"/>
    <w:rsid w:val="269A09F7"/>
    <w:rsid w:val="26DE174A"/>
    <w:rsid w:val="273B3040"/>
    <w:rsid w:val="278A63DF"/>
    <w:rsid w:val="278F0C96"/>
    <w:rsid w:val="27BD1CA7"/>
    <w:rsid w:val="28377B13"/>
    <w:rsid w:val="28414686"/>
    <w:rsid w:val="28427C92"/>
    <w:rsid w:val="2848070D"/>
    <w:rsid w:val="287F0D0A"/>
    <w:rsid w:val="289A78F2"/>
    <w:rsid w:val="28BB5D28"/>
    <w:rsid w:val="28ED036A"/>
    <w:rsid w:val="28F13275"/>
    <w:rsid w:val="28FB65E3"/>
    <w:rsid w:val="28FC05AD"/>
    <w:rsid w:val="28FD67FF"/>
    <w:rsid w:val="291D29FD"/>
    <w:rsid w:val="295C2E68"/>
    <w:rsid w:val="296F5223"/>
    <w:rsid w:val="297168A5"/>
    <w:rsid w:val="29930F11"/>
    <w:rsid w:val="29C537C1"/>
    <w:rsid w:val="29F179E6"/>
    <w:rsid w:val="2A1C2CB5"/>
    <w:rsid w:val="2A273408"/>
    <w:rsid w:val="2A825E7A"/>
    <w:rsid w:val="2A992557"/>
    <w:rsid w:val="2AFB4FC0"/>
    <w:rsid w:val="2B473D61"/>
    <w:rsid w:val="2B4A15D3"/>
    <w:rsid w:val="2B61208E"/>
    <w:rsid w:val="2B761F52"/>
    <w:rsid w:val="2B82123D"/>
    <w:rsid w:val="2B8433D3"/>
    <w:rsid w:val="2B892309"/>
    <w:rsid w:val="2B986339"/>
    <w:rsid w:val="2BD001FB"/>
    <w:rsid w:val="2C264BAB"/>
    <w:rsid w:val="2C271DE5"/>
    <w:rsid w:val="2C5524AE"/>
    <w:rsid w:val="2C73502A"/>
    <w:rsid w:val="2C901738"/>
    <w:rsid w:val="2CA174A1"/>
    <w:rsid w:val="2CB01DDA"/>
    <w:rsid w:val="2CD51841"/>
    <w:rsid w:val="2CD56030"/>
    <w:rsid w:val="2CF03F85"/>
    <w:rsid w:val="2CFA3055"/>
    <w:rsid w:val="2D26209C"/>
    <w:rsid w:val="2D490293"/>
    <w:rsid w:val="2DB31B82"/>
    <w:rsid w:val="2DFB7085"/>
    <w:rsid w:val="2E00644A"/>
    <w:rsid w:val="2E374561"/>
    <w:rsid w:val="2E700C2F"/>
    <w:rsid w:val="2E890259"/>
    <w:rsid w:val="2EB3170E"/>
    <w:rsid w:val="2EC82F96"/>
    <w:rsid w:val="2ED27DE6"/>
    <w:rsid w:val="2EF44200"/>
    <w:rsid w:val="2EFF2BA5"/>
    <w:rsid w:val="2F105BD5"/>
    <w:rsid w:val="2F177EEF"/>
    <w:rsid w:val="2FB219C5"/>
    <w:rsid w:val="2FC811E9"/>
    <w:rsid w:val="30017823"/>
    <w:rsid w:val="30275F10"/>
    <w:rsid w:val="305F1B4D"/>
    <w:rsid w:val="306B10FB"/>
    <w:rsid w:val="308C2216"/>
    <w:rsid w:val="308E2433"/>
    <w:rsid w:val="309B03AD"/>
    <w:rsid w:val="30B11C7D"/>
    <w:rsid w:val="30D50061"/>
    <w:rsid w:val="30DA11D4"/>
    <w:rsid w:val="312B1A2F"/>
    <w:rsid w:val="312D57A8"/>
    <w:rsid w:val="31350B00"/>
    <w:rsid w:val="313A448A"/>
    <w:rsid w:val="313A6976"/>
    <w:rsid w:val="314B3E80"/>
    <w:rsid w:val="31615C9A"/>
    <w:rsid w:val="31622324"/>
    <w:rsid w:val="31666F0B"/>
    <w:rsid w:val="31C83722"/>
    <w:rsid w:val="31CA1248"/>
    <w:rsid w:val="31DF2575"/>
    <w:rsid w:val="31F512D3"/>
    <w:rsid w:val="32572665"/>
    <w:rsid w:val="329F26D5"/>
    <w:rsid w:val="32AE0B6A"/>
    <w:rsid w:val="32B4797C"/>
    <w:rsid w:val="32BF4B25"/>
    <w:rsid w:val="32D00AE0"/>
    <w:rsid w:val="331A2C46"/>
    <w:rsid w:val="331C1F78"/>
    <w:rsid w:val="336A2CE3"/>
    <w:rsid w:val="33B25124"/>
    <w:rsid w:val="33CA5530"/>
    <w:rsid w:val="33FE27B0"/>
    <w:rsid w:val="341F6CFD"/>
    <w:rsid w:val="34326CCA"/>
    <w:rsid w:val="344A6670"/>
    <w:rsid w:val="346D7F9B"/>
    <w:rsid w:val="347D07F4"/>
    <w:rsid w:val="34AA5361"/>
    <w:rsid w:val="34CC3529"/>
    <w:rsid w:val="34E40873"/>
    <w:rsid w:val="351078BA"/>
    <w:rsid w:val="3511467C"/>
    <w:rsid w:val="355C7052"/>
    <w:rsid w:val="356605A4"/>
    <w:rsid w:val="35675000"/>
    <w:rsid w:val="35D00DF7"/>
    <w:rsid w:val="35DA1C76"/>
    <w:rsid w:val="35EB3E83"/>
    <w:rsid w:val="36034D29"/>
    <w:rsid w:val="363867DA"/>
    <w:rsid w:val="36511F38"/>
    <w:rsid w:val="36575075"/>
    <w:rsid w:val="36A302BA"/>
    <w:rsid w:val="36A4475E"/>
    <w:rsid w:val="36D84407"/>
    <w:rsid w:val="375E3C18"/>
    <w:rsid w:val="376C4B50"/>
    <w:rsid w:val="379C3687"/>
    <w:rsid w:val="37A772D1"/>
    <w:rsid w:val="37C30C14"/>
    <w:rsid w:val="37C64260"/>
    <w:rsid w:val="38211DDE"/>
    <w:rsid w:val="38286CC9"/>
    <w:rsid w:val="38392C84"/>
    <w:rsid w:val="38D82BCA"/>
    <w:rsid w:val="38F17A02"/>
    <w:rsid w:val="39162FC5"/>
    <w:rsid w:val="39237490"/>
    <w:rsid w:val="393B0B68"/>
    <w:rsid w:val="395F671A"/>
    <w:rsid w:val="3979539F"/>
    <w:rsid w:val="39CE3F13"/>
    <w:rsid w:val="39EB6200"/>
    <w:rsid w:val="39F03816"/>
    <w:rsid w:val="3A1A4D37"/>
    <w:rsid w:val="3A6F6E31"/>
    <w:rsid w:val="3AC0143A"/>
    <w:rsid w:val="3AE8273F"/>
    <w:rsid w:val="3AF31810"/>
    <w:rsid w:val="3B111C96"/>
    <w:rsid w:val="3B15002D"/>
    <w:rsid w:val="3B514788"/>
    <w:rsid w:val="3B561D9F"/>
    <w:rsid w:val="3B5B1163"/>
    <w:rsid w:val="3B626996"/>
    <w:rsid w:val="3B651FE2"/>
    <w:rsid w:val="3B9D352A"/>
    <w:rsid w:val="3BA97324"/>
    <w:rsid w:val="3BB50A21"/>
    <w:rsid w:val="3C0417FB"/>
    <w:rsid w:val="3C463BC1"/>
    <w:rsid w:val="3C5738CA"/>
    <w:rsid w:val="3CBE7BFC"/>
    <w:rsid w:val="3CD322ED"/>
    <w:rsid w:val="3D6267D9"/>
    <w:rsid w:val="3D6C47CF"/>
    <w:rsid w:val="3D9F17DB"/>
    <w:rsid w:val="3DAE1A1E"/>
    <w:rsid w:val="3DF24001"/>
    <w:rsid w:val="3E23065E"/>
    <w:rsid w:val="3E686071"/>
    <w:rsid w:val="3E7F160D"/>
    <w:rsid w:val="3E8B3402"/>
    <w:rsid w:val="3ECC729E"/>
    <w:rsid w:val="3F1B5DBB"/>
    <w:rsid w:val="3F5218F6"/>
    <w:rsid w:val="3F656A54"/>
    <w:rsid w:val="3F6A406B"/>
    <w:rsid w:val="3F870926"/>
    <w:rsid w:val="3FAF58B0"/>
    <w:rsid w:val="4013200C"/>
    <w:rsid w:val="4015718F"/>
    <w:rsid w:val="4032060C"/>
    <w:rsid w:val="403326AF"/>
    <w:rsid w:val="404B47FE"/>
    <w:rsid w:val="4055618E"/>
    <w:rsid w:val="40664468"/>
    <w:rsid w:val="410302D3"/>
    <w:rsid w:val="415154E2"/>
    <w:rsid w:val="417B430D"/>
    <w:rsid w:val="41B32848"/>
    <w:rsid w:val="422D7539"/>
    <w:rsid w:val="423C1CEE"/>
    <w:rsid w:val="42426BD9"/>
    <w:rsid w:val="42562684"/>
    <w:rsid w:val="4258464E"/>
    <w:rsid w:val="42660B19"/>
    <w:rsid w:val="42860D96"/>
    <w:rsid w:val="42BF647C"/>
    <w:rsid w:val="43140575"/>
    <w:rsid w:val="439D4A0F"/>
    <w:rsid w:val="44020D16"/>
    <w:rsid w:val="443056E5"/>
    <w:rsid w:val="44B33DBE"/>
    <w:rsid w:val="45C5024D"/>
    <w:rsid w:val="45F34E5C"/>
    <w:rsid w:val="45F60406"/>
    <w:rsid w:val="46252A99"/>
    <w:rsid w:val="46357180"/>
    <w:rsid w:val="46623CEE"/>
    <w:rsid w:val="46D16BB9"/>
    <w:rsid w:val="472471F5"/>
    <w:rsid w:val="4726445D"/>
    <w:rsid w:val="47392CA0"/>
    <w:rsid w:val="473C62ED"/>
    <w:rsid w:val="476A6AE0"/>
    <w:rsid w:val="479F062A"/>
    <w:rsid w:val="47A65E5C"/>
    <w:rsid w:val="47B27691"/>
    <w:rsid w:val="47ED4D37"/>
    <w:rsid w:val="48013092"/>
    <w:rsid w:val="48233009"/>
    <w:rsid w:val="48311BC9"/>
    <w:rsid w:val="484C6659"/>
    <w:rsid w:val="48A30128"/>
    <w:rsid w:val="48A55857"/>
    <w:rsid w:val="48D82045"/>
    <w:rsid w:val="48E02DD2"/>
    <w:rsid w:val="48F015D6"/>
    <w:rsid w:val="491F5570"/>
    <w:rsid w:val="492359B6"/>
    <w:rsid w:val="492B03C7"/>
    <w:rsid w:val="49CA6585"/>
    <w:rsid w:val="49E8275C"/>
    <w:rsid w:val="49F11610"/>
    <w:rsid w:val="4A0D5D1E"/>
    <w:rsid w:val="4A2319E6"/>
    <w:rsid w:val="4A3425AA"/>
    <w:rsid w:val="4A503792"/>
    <w:rsid w:val="4A617E1F"/>
    <w:rsid w:val="4A6A4F1F"/>
    <w:rsid w:val="4B256B10"/>
    <w:rsid w:val="4B2652EA"/>
    <w:rsid w:val="4B2B0B52"/>
    <w:rsid w:val="4B6D5C6F"/>
    <w:rsid w:val="4BE11211"/>
    <w:rsid w:val="4BF21670"/>
    <w:rsid w:val="4C213D03"/>
    <w:rsid w:val="4C2555A1"/>
    <w:rsid w:val="4C2832E3"/>
    <w:rsid w:val="4C637352"/>
    <w:rsid w:val="4CF03E01"/>
    <w:rsid w:val="4D2F39C1"/>
    <w:rsid w:val="4D36558C"/>
    <w:rsid w:val="4D8E53C8"/>
    <w:rsid w:val="4DB43081"/>
    <w:rsid w:val="4DF06083"/>
    <w:rsid w:val="4E105DDD"/>
    <w:rsid w:val="4E200716"/>
    <w:rsid w:val="4E4B5067"/>
    <w:rsid w:val="4E8011B5"/>
    <w:rsid w:val="4E965BF7"/>
    <w:rsid w:val="4E9E163B"/>
    <w:rsid w:val="4EA349ED"/>
    <w:rsid w:val="4ECC7F56"/>
    <w:rsid w:val="4EF31987"/>
    <w:rsid w:val="4F2A2ECF"/>
    <w:rsid w:val="4F4026F2"/>
    <w:rsid w:val="4F525AD3"/>
    <w:rsid w:val="4F5B577E"/>
    <w:rsid w:val="4F626B0C"/>
    <w:rsid w:val="4F7164DB"/>
    <w:rsid w:val="4F7D5E60"/>
    <w:rsid w:val="4FFF25AD"/>
    <w:rsid w:val="502D711A"/>
    <w:rsid w:val="50575F45"/>
    <w:rsid w:val="50812FC2"/>
    <w:rsid w:val="50854860"/>
    <w:rsid w:val="50940F47"/>
    <w:rsid w:val="509C58BA"/>
    <w:rsid w:val="509F2C42"/>
    <w:rsid w:val="510A2FB8"/>
    <w:rsid w:val="510A745C"/>
    <w:rsid w:val="514C1822"/>
    <w:rsid w:val="515B3813"/>
    <w:rsid w:val="51C23609"/>
    <w:rsid w:val="524467E0"/>
    <w:rsid w:val="52481FEA"/>
    <w:rsid w:val="5253273C"/>
    <w:rsid w:val="525E00AB"/>
    <w:rsid w:val="527C7EE5"/>
    <w:rsid w:val="52BA32D9"/>
    <w:rsid w:val="52C13B25"/>
    <w:rsid w:val="52E141EC"/>
    <w:rsid w:val="531C6FD2"/>
    <w:rsid w:val="531E71EE"/>
    <w:rsid w:val="53252E92"/>
    <w:rsid w:val="53283BC9"/>
    <w:rsid w:val="53514ECE"/>
    <w:rsid w:val="536F71A0"/>
    <w:rsid w:val="53DA3583"/>
    <w:rsid w:val="53EB5322"/>
    <w:rsid w:val="54255DDE"/>
    <w:rsid w:val="542C0846"/>
    <w:rsid w:val="543610D6"/>
    <w:rsid w:val="545D5AF4"/>
    <w:rsid w:val="54617393"/>
    <w:rsid w:val="549C21E7"/>
    <w:rsid w:val="54F16CCE"/>
    <w:rsid w:val="550B72FE"/>
    <w:rsid w:val="55583378"/>
    <w:rsid w:val="55653A2B"/>
    <w:rsid w:val="55AC6D33"/>
    <w:rsid w:val="55C83890"/>
    <w:rsid w:val="564451BE"/>
    <w:rsid w:val="56717635"/>
    <w:rsid w:val="567A0BDF"/>
    <w:rsid w:val="567B0DE0"/>
    <w:rsid w:val="567F3C35"/>
    <w:rsid w:val="56B32482"/>
    <w:rsid w:val="56D227CA"/>
    <w:rsid w:val="56D976B4"/>
    <w:rsid w:val="56DC53F6"/>
    <w:rsid w:val="56EC4AD0"/>
    <w:rsid w:val="56F00EA2"/>
    <w:rsid w:val="56F40992"/>
    <w:rsid w:val="572078B1"/>
    <w:rsid w:val="5728063B"/>
    <w:rsid w:val="5797131D"/>
    <w:rsid w:val="57B1418D"/>
    <w:rsid w:val="57D4431F"/>
    <w:rsid w:val="57E24C8E"/>
    <w:rsid w:val="57F30C49"/>
    <w:rsid w:val="582901C7"/>
    <w:rsid w:val="584E7C2E"/>
    <w:rsid w:val="5860250E"/>
    <w:rsid w:val="58621B57"/>
    <w:rsid w:val="588C69A8"/>
    <w:rsid w:val="58AF298D"/>
    <w:rsid w:val="58FD5BE8"/>
    <w:rsid w:val="5919023C"/>
    <w:rsid w:val="59205A6E"/>
    <w:rsid w:val="595C281E"/>
    <w:rsid w:val="5A272E2C"/>
    <w:rsid w:val="5AA77AC9"/>
    <w:rsid w:val="5AB32552"/>
    <w:rsid w:val="5B303F63"/>
    <w:rsid w:val="5B3F7D02"/>
    <w:rsid w:val="5B9B13DC"/>
    <w:rsid w:val="5BD82630"/>
    <w:rsid w:val="5BED775E"/>
    <w:rsid w:val="5C043425"/>
    <w:rsid w:val="5C1178F0"/>
    <w:rsid w:val="5C1E3DBB"/>
    <w:rsid w:val="5C5C1D70"/>
    <w:rsid w:val="5C6953BD"/>
    <w:rsid w:val="5C7165E1"/>
    <w:rsid w:val="5C876614"/>
    <w:rsid w:val="5C9F6CAA"/>
    <w:rsid w:val="5CB52971"/>
    <w:rsid w:val="5CF54B1C"/>
    <w:rsid w:val="5CFD1C22"/>
    <w:rsid w:val="5D07484F"/>
    <w:rsid w:val="5D0E2082"/>
    <w:rsid w:val="5D3119D1"/>
    <w:rsid w:val="5D615C6B"/>
    <w:rsid w:val="5D667504"/>
    <w:rsid w:val="5D777C27"/>
    <w:rsid w:val="5D8F69D3"/>
    <w:rsid w:val="5D92680F"/>
    <w:rsid w:val="5DAF116F"/>
    <w:rsid w:val="5DC47482"/>
    <w:rsid w:val="5DCA41FA"/>
    <w:rsid w:val="5DCE5BB7"/>
    <w:rsid w:val="5E004B0E"/>
    <w:rsid w:val="5E323B4E"/>
    <w:rsid w:val="5E56783C"/>
    <w:rsid w:val="5E713748"/>
    <w:rsid w:val="5EB153BA"/>
    <w:rsid w:val="5EC96260"/>
    <w:rsid w:val="5ED6156A"/>
    <w:rsid w:val="5EF5136C"/>
    <w:rsid w:val="5F3A0F0C"/>
    <w:rsid w:val="5F3C2ED6"/>
    <w:rsid w:val="5F3C5C05"/>
    <w:rsid w:val="5F70492E"/>
    <w:rsid w:val="5F793410"/>
    <w:rsid w:val="5FC80AFC"/>
    <w:rsid w:val="5FF7504F"/>
    <w:rsid w:val="60326B7B"/>
    <w:rsid w:val="606D5311"/>
    <w:rsid w:val="60B42F40"/>
    <w:rsid w:val="60B87BDB"/>
    <w:rsid w:val="60DD5FF3"/>
    <w:rsid w:val="60EC6236"/>
    <w:rsid w:val="60F81561"/>
    <w:rsid w:val="61061D24"/>
    <w:rsid w:val="61397AE4"/>
    <w:rsid w:val="61565DA5"/>
    <w:rsid w:val="61642270"/>
    <w:rsid w:val="618446C0"/>
    <w:rsid w:val="61FB0E26"/>
    <w:rsid w:val="62045801"/>
    <w:rsid w:val="620B75D5"/>
    <w:rsid w:val="622D6B06"/>
    <w:rsid w:val="624943AD"/>
    <w:rsid w:val="62606EDB"/>
    <w:rsid w:val="626E6155"/>
    <w:rsid w:val="627025A0"/>
    <w:rsid w:val="62864468"/>
    <w:rsid w:val="62B073D2"/>
    <w:rsid w:val="62BE3C02"/>
    <w:rsid w:val="62E72EBD"/>
    <w:rsid w:val="63030411"/>
    <w:rsid w:val="630737FB"/>
    <w:rsid w:val="633979D9"/>
    <w:rsid w:val="639C3F43"/>
    <w:rsid w:val="63D556A7"/>
    <w:rsid w:val="63F0603D"/>
    <w:rsid w:val="64636536"/>
    <w:rsid w:val="648A6492"/>
    <w:rsid w:val="65185A56"/>
    <w:rsid w:val="653C12C1"/>
    <w:rsid w:val="65404DA2"/>
    <w:rsid w:val="656E190F"/>
    <w:rsid w:val="65901886"/>
    <w:rsid w:val="65C07C91"/>
    <w:rsid w:val="65F22540"/>
    <w:rsid w:val="66044022"/>
    <w:rsid w:val="660F30F2"/>
    <w:rsid w:val="66157FDD"/>
    <w:rsid w:val="66187ACD"/>
    <w:rsid w:val="66575B8C"/>
    <w:rsid w:val="66855316"/>
    <w:rsid w:val="66996E60"/>
    <w:rsid w:val="66AE6FB9"/>
    <w:rsid w:val="66FD0371"/>
    <w:rsid w:val="674212A6"/>
    <w:rsid w:val="678673E4"/>
    <w:rsid w:val="67DD0FCE"/>
    <w:rsid w:val="683F7593"/>
    <w:rsid w:val="68C36416"/>
    <w:rsid w:val="68C53F3C"/>
    <w:rsid w:val="69020CEC"/>
    <w:rsid w:val="69112CDD"/>
    <w:rsid w:val="693A4562"/>
    <w:rsid w:val="693B7D5A"/>
    <w:rsid w:val="694575F1"/>
    <w:rsid w:val="6958090C"/>
    <w:rsid w:val="69692B1A"/>
    <w:rsid w:val="697D5102"/>
    <w:rsid w:val="69931944"/>
    <w:rsid w:val="69A91168"/>
    <w:rsid w:val="69B30E3F"/>
    <w:rsid w:val="69C45FA2"/>
    <w:rsid w:val="69F543AD"/>
    <w:rsid w:val="69FA19C4"/>
    <w:rsid w:val="6A040A94"/>
    <w:rsid w:val="6A162576"/>
    <w:rsid w:val="6A2627B9"/>
    <w:rsid w:val="6A2C3B47"/>
    <w:rsid w:val="6A3751B8"/>
    <w:rsid w:val="6A3C13E7"/>
    <w:rsid w:val="6A3D7B02"/>
    <w:rsid w:val="6A411276"/>
    <w:rsid w:val="6A55309E"/>
    <w:rsid w:val="6A5B4B2A"/>
    <w:rsid w:val="6A75729C"/>
    <w:rsid w:val="6A8120E5"/>
    <w:rsid w:val="6B7739CC"/>
    <w:rsid w:val="6BB64010"/>
    <w:rsid w:val="6BFD1C3F"/>
    <w:rsid w:val="6C2B055A"/>
    <w:rsid w:val="6C305B70"/>
    <w:rsid w:val="6C450EF0"/>
    <w:rsid w:val="6C53360D"/>
    <w:rsid w:val="6C7C0DB6"/>
    <w:rsid w:val="6C7F2654"/>
    <w:rsid w:val="6C904861"/>
    <w:rsid w:val="6C98206D"/>
    <w:rsid w:val="6CAE4CE7"/>
    <w:rsid w:val="6CBB08D7"/>
    <w:rsid w:val="6CCE0EE6"/>
    <w:rsid w:val="6D2F7BD6"/>
    <w:rsid w:val="6D486EEA"/>
    <w:rsid w:val="6D655CEE"/>
    <w:rsid w:val="6D94212F"/>
    <w:rsid w:val="6DC742B3"/>
    <w:rsid w:val="6DD662A4"/>
    <w:rsid w:val="6DEC357D"/>
    <w:rsid w:val="6DF42BCE"/>
    <w:rsid w:val="6E166FE8"/>
    <w:rsid w:val="6E1B63AC"/>
    <w:rsid w:val="6E2F1A86"/>
    <w:rsid w:val="6E2F3C06"/>
    <w:rsid w:val="6E407BC1"/>
    <w:rsid w:val="6E751F61"/>
    <w:rsid w:val="6EB1286D"/>
    <w:rsid w:val="6EF54E4F"/>
    <w:rsid w:val="6F06705D"/>
    <w:rsid w:val="6F1B6513"/>
    <w:rsid w:val="6F235519"/>
    <w:rsid w:val="6F26325B"/>
    <w:rsid w:val="6F5557B8"/>
    <w:rsid w:val="6F771D08"/>
    <w:rsid w:val="6F8D32DA"/>
    <w:rsid w:val="70080156"/>
    <w:rsid w:val="700F0193"/>
    <w:rsid w:val="701B2694"/>
    <w:rsid w:val="70433998"/>
    <w:rsid w:val="70A02B99"/>
    <w:rsid w:val="70E60EF4"/>
    <w:rsid w:val="711800DA"/>
    <w:rsid w:val="71492CF9"/>
    <w:rsid w:val="714B0D57"/>
    <w:rsid w:val="714B6FA9"/>
    <w:rsid w:val="715A7D47"/>
    <w:rsid w:val="716A38D3"/>
    <w:rsid w:val="716D6F1F"/>
    <w:rsid w:val="722F2426"/>
    <w:rsid w:val="72C963D7"/>
    <w:rsid w:val="733019F3"/>
    <w:rsid w:val="736D3206"/>
    <w:rsid w:val="73A66718"/>
    <w:rsid w:val="73C3376E"/>
    <w:rsid w:val="73C53042"/>
    <w:rsid w:val="73CD639B"/>
    <w:rsid w:val="73D019E7"/>
    <w:rsid w:val="73E86D31"/>
    <w:rsid w:val="740A6D83"/>
    <w:rsid w:val="743E4BA3"/>
    <w:rsid w:val="744321B9"/>
    <w:rsid w:val="74463A57"/>
    <w:rsid w:val="745B7503"/>
    <w:rsid w:val="74795BDB"/>
    <w:rsid w:val="74A54C22"/>
    <w:rsid w:val="74E4399C"/>
    <w:rsid w:val="75363ACC"/>
    <w:rsid w:val="757027E4"/>
    <w:rsid w:val="757E5B9F"/>
    <w:rsid w:val="75B96BD7"/>
    <w:rsid w:val="75E4177A"/>
    <w:rsid w:val="760E1178"/>
    <w:rsid w:val="762073CA"/>
    <w:rsid w:val="762B1157"/>
    <w:rsid w:val="763149BF"/>
    <w:rsid w:val="763641D6"/>
    <w:rsid w:val="76592168"/>
    <w:rsid w:val="769A6A08"/>
    <w:rsid w:val="76DF65C7"/>
    <w:rsid w:val="76E25CB9"/>
    <w:rsid w:val="770937D2"/>
    <w:rsid w:val="774B1AB0"/>
    <w:rsid w:val="779C40BA"/>
    <w:rsid w:val="77E912C9"/>
    <w:rsid w:val="77FA7033"/>
    <w:rsid w:val="782A3DBC"/>
    <w:rsid w:val="78680440"/>
    <w:rsid w:val="789F6A3B"/>
    <w:rsid w:val="78C94338"/>
    <w:rsid w:val="78DC293F"/>
    <w:rsid w:val="791B3704"/>
    <w:rsid w:val="79294073"/>
    <w:rsid w:val="79297BCF"/>
    <w:rsid w:val="79574474"/>
    <w:rsid w:val="7972745F"/>
    <w:rsid w:val="797A1E18"/>
    <w:rsid w:val="79DD5287"/>
    <w:rsid w:val="79FA77BE"/>
    <w:rsid w:val="79FB791A"/>
    <w:rsid w:val="7A150154"/>
    <w:rsid w:val="7AB7745D"/>
    <w:rsid w:val="7AE77D42"/>
    <w:rsid w:val="7B1E128A"/>
    <w:rsid w:val="7B310FBD"/>
    <w:rsid w:val="7B51165F"/>
    <w:rsid w:val="7BF00E78"/>
    <w:rsid w:val="7BFB5810"/>
    <w:rsid w:val="7C105077"/>
    <w:rsid w:val="7C613B24"/>
    <w:rsid w:val="7C817D22"/>
    <w:rsid w:val="7C876F96"/>
    <w:rsid w:val="7C8E41ED"/>
    <w:rsid w:val="7CC52238"/>
    <w:rsid w:val="7D2D3A06"/>
    <w:rsid w:val="7D3C0369"/>
    <w:rsid w:val="7D9D293A"/>
    <w:rsid w:val="7DA0242A"/>
    <w:rsid w:val="7DA2161A"/>
    <w:rsid w:val="7DB163E5"/>
    <w:rsid w:val="7DC223A1"/>
    <w:rsid w:val="7DDD71DA"/>
    <w:rsid w:val="7DF07AA7"/>
    <w:rsid w:val="7E235535"/>
    <w:rsid w:val="7E696CC0"/>
    <w:rsid w:val="7E7933A7"/>
    <w:rsid w:val="7F1255AA"/>
    <w:rsid w:val="7F192494"/>
    <w:rsid w:val="7F2A28F3"/>
    <w:rsid w:val="7F2F3A66"/>
    <w:rsid w:val="7F4566AA"/>
    <w:rsid w:val="7F6A0F42"/>
    <w:rsid w:val="7FA06711"/>
    <w:rsid w:val="7FA13459"/>
    <w:rsid w:val="7FAC3308"/>
    <w:rsid w:val="7FE505C8"/>
    <w:rsid w:val="7FE9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line="480" w:lineRule="auto"/>
      <w:ind w:firstLine="0"/>
      <w:jc w:val="center"/>
      <w:outlineLvl w:val="0"/>
    </w:pPr>
    <w:rPr>
      <w:rFonts w:eastAsiaTheme="majorEastAsia"/>
      <w:b/>
      <w:kern w:val="44"/>
      <w:sz w:val="36"/>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9"/>
    <w:pPr>
      <w:keepNext/>
      <w:keepLines/>
      <w:jc w:val="center"/>
      <w:outlineLvl w:val="3"/>
    </w:pPr>
    <w:rPr>
      <w:rFonts w:ascii="Cambria" w:hAnsi="Cambria"/>
      <w:b/>
      <w:bCs/>
      <w:sz w:val="32"/>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4"/>
    </w:rPr>
  </w:style>
  <w:style w:type="paragraph" w:styleId="7">
    <w:name w:val="caption"/>
    <w:basedOn w:val="1"/>
    <w:next w:val="1"/>
    <w:qFormat/>
    <w:uiPriority w:val="0"/>
    <w:rPr>
      <w:rFonts w:ascii="Cambria" w:hAnsi="Cambria" w:eastAsia="黑体"/>
      <w:sz w:val="20"/>
      <w:szCs w:val="20"/>
    </w:rPr>
  </w:style>
  <w:style w:type="paragraph" w:styleId="8">
    <w:name w:val="annotation text"/>
    <w:basedOn w:val="1"/>
    <w:qFormat/>
    <w:uiPriority w:val="0"/>
    <w:pPr>
      <w:jc w:val="left"/>
    </w:pPr>
  </w:style>
  <w:style w:type="paragraph" w:styleId="9">
    <w:name w:val="Body Text"/>
    <w:basedOn w:val="1"/>
    <w:next w:val="1"/>
    <w:qFormat/>
    <w:uiPriority w:val="0"/>
    <w:pPr>
      <w:adjustRightInd w:val="0"/>
      <w:jc w:val="left"/>
      <w:textAlignment w:val="baseline"/>
    </w:pPr>
    <w:rPr>
      <w:rFonts w:ascii="楷体_GB2312" w:eastAsia="楷体_GB2312"/>
      <w:kern w:val="0"/>
      <w:sz w:val="28"/>
    </w:rPr>
  </w:style>
  <w:style w:type="paragraph" w:styleId="10">
    <w:name w:val="Body Text Indent"/>
    <w:basedOn w:val="1"/>
    <w:next w:val="11"/>
    <w:qFormat/>
    <w:uiPriority w:val="0"/>
    <w:pPr>
      <w:ind w:left="884"/>
    </w:pPr>
    <w:rPr>
      <w:sz w:val="24"/>
    </w:rPr>
  </w:style>
  <w:style w:type="paragraph" w:customStyle="1" w:styleId="1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List 2"/>
    <w:basedOn w:val="1"/>
    <w:qFormat/>
    <w:uiPriority w:val="0"/>
    <w:pPr>
      <w:ind w:left="100" w:leftChars="200" w:hanging="200" w:hangingChars="200"/>
    </w:pPr>
    <w:rPr>
      <w:rFonts w:ascii="Times New Roman" w:hAnsi="Times New Roman"/>
      <w:szCs w:val="24"/>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
    <w:next w:val="1"/>
    <w:qFormat/>
    <w:uiPriority w:val="39"/>
    <w:pPr>
      <w:spacing w:before="120" w:after="120"/>
      <w:jc w:val="left"/>
    </w:pPr>
    <w:rPr>
      <w:b/>
      <w:bCs/>
      <w:caps/>
      <w:sz w:val="20"/>
      <w:szCs w:val="20"/>
    </w:rPr>
  </w:style>
  <w:style w:type="paragraph" w:styleId="18">
    <w:name w:val="footnote text"/>
    <w:basedOn w:val="1"/>
    <w:unhideWhenUsed/>
    <w:qFormat/>
    <w:uiPriority w:val="0"/>
    <w:pPr>
      <w:snapToGrid w:val="0"/>
    </w:pPr>
    <w:rPr>
      <w:sz w:val="18"/>
    </w:rPr>
  </w:style>
  <w:style w:type="paragraph" w:styleId="19">
    <w:name w:val="toc 2"/>
    <w:basedOn w:val="1"/>
    <w:next w:val="1"/>
    <w:qFormat/>
    <w:uiPriority w:val="39"/>
    <w:pPr>
      <w:ind w:left="210"/>
      <w:jc w:val="left"/>
    </w:pPr>
    <w:rPr>
      <w:smallCaps/>
      <w:sz w:val="20"/>
      <w:szCs w:val="20"/>
    </w:rPr>
  </w:style>
  <w:style w:type="paragraph" w:styleId="20">
    <w:name w:val="Body Text 2"/>
    <w:basedOn w:val="1"/>
    <w:qFormat/>
    <w:uiPriority w:val="0"/>
    <w:pPr>
      <w:spacing w:line="360" w:lineRule="auto"/>
    </w:pPr>
    <w:rPr>
      <w:sz w:val="24"/>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22">
    <w:name w:val="Normal (Web)"/>
    <w:basedOn w:val="1"/>
    <w:qFormat/>
    <w:uiPriority w:val="0"/>
    <w:pPr>
      <w:spacing w:beforeAutospacing="1" w:afterAutospacing="1"/>
      <w:jc w:val="left"/>
    </w:pPr>
    <w:rPr>
      <w:kern w:val="0"/>
      <w:sz w:val="24"/>
    </w:rPr>
  </w:style>
  <w:style w:type="paragraph" w:styleId="23">
    <w:name w:val="index 1"/>
    <w:basedOn w:val="1"/>
    <w:next w:val="1"/>
    <w:qFormat/>
    <w:uiPriority w:val="0"/>
  </w:style>
  <w:style w:type="paragraph" w:styleId="24">
    <w:name w:val="Body Text First Indent"/>
    <w:basedOn w:val="9"/>
    <w:next w:val="1"/>
    <w:qFormat/>
    <w:uiPriority w:val="0"/>
    <w:pPr>
      <w:ind w:firstLine="420"/>
    </w:pPr>
    <w:rPr>
      <w:sz w:val="32"/>
    </w:rPr>
  </w:style>
  <w:style w:type="paragraph" w:styleId="25">
    <w:name w:val="Body Text First Indent 2"/>
    <w:basedOn w:val="10"/>
    <w:next w:val="1"/>
    <w:qFormat/>
    <w:uiPriority w:val="0"/>
    <w:pPr>
      <w:tabs>
        <w:tab w:val="left" w:pos="945"/>
        <w:tab w:val="left" w:pos="1155"/>
        <w:tab w:val="left" w:pos="1158"/>
        <w:tab w:val="left" w:pos="1544"/>
      </w:tabs>
      <w:ind w:firstLine="420"/>
    </w:pPr>
    <w:rPr>
      <w:rFonts w:hint="eastAsia"/>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rPr>
      <w:rFonts w:cs="Times New Roman"/>
    </w:rPr>
  </w:style>
  <w:style w:type="character" w:styleId="31">
    <w:name w:val="FollowedHyperlink"/>
    <w:basedOn w:val="28"/>
    <w:qFormat/>
    <w:uiPriority w:val="0"/>
    <w:rPr>
      <w:color w:val="5C5C5C"/>
      <w:u w:val="none"/>
    </w:rPr>
  </w:style>
  <w:style w:type="character" w:styleId="32">
    <w:name w:val="Emphasis"/>
    <w:basedOn w:val="28"/>
    <w:qFormat/>
    <w:uiPriority w:val="0"/>
    <w:rPr>
      <w:b/>
      <w:bCs/>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5C5C5C"/>
      <w:u w:val="non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hint="default" w:ascii="monospace" w:hAnsi="monospace" w:eastAsia="monospace" w:cs="monospace"/>
      <w:color w:val="5C5C5C"/>
      <w:sz w:val="18"/>
      <w:szCs w:val="18"/>
      <w:bdr w:val="single" w:color="EBEBEB" w:sz="6" w:space="0"/>
      <w:shd w:val="clear" w:color="auto" w:fill="FFFFFF"/>
    </w:rPr>
  </w:style>
  <w:style w:type="character" w:styleId="41">
    <w:name w:val="HTML Sample"/>
    <w:basedOn w:val="28"/>
    <w:qFormat/>
    <w:uiPriority w:val="0"/>
    <w:rPr>
      <w:rFonts w:ascii="monospace" w:hAnsi="monospace" w:eastAsia="monospace" w:cs="monospace"/>
    </w:rPr>
  </w:style>
  <w:style w:type="paragraph" w:customStyle="1" w:styleId="42">
    <w:name w:val="无间隔1"/>
    <w:basedOn w:val="43"/>
    <w:next w:val="44"/>
    <w:qFormat/>
    <w:uiPriority w:val="1"/>
    <w:pPr>
      <w:spacing w:line="400" w:lineRule="exact"/>
    </w:pPr>
    <w:rPr>
      <w:sz w:val="24"/>
    </w:rPr>
  </w:style>
  <w:style w:type="paragraph" w:customStyle="1" w:styleId="4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45">
    <w:name w:val="无间隔2"/>
    <w:basedOn w:val="1"/>
    <w:qFormat/>
    <w:uiPriority w:val="0"/>
    <w:pPr>
      <w:spacing w:line="400" w:lineRule="exact"/>
    </w:pPr>
    <w:rPr>
      <w:sz w:val="24"/>
    </w:rPr>
  </w:style>
  <w:style w:type="paragraph" w:customStyle="1" w:styleId="46">
    <w:name w:val="无间隔11"/>
    <w:basedOn w:val="1"/>
    <w:next w:val="44"/>
    <w:qFormat/>
    <w:uiPriority w:val="1"/>
    <w:pPr>
      <w:spacing w:line="400" w:lineRule="exact"/>
    </w:pPr>
    <w:rPr>
      <w:sz w:val="24"/>
    </w:rPr>
  </w:style>
  <w:style w:type="paragraph" w:customStyle="1" w:styleId="47">
    <w:name w:val="无间隔111"/>
    <w:basedOn w:val="1"/>
    <w:qFormat/>
    <w:uiPriority w:val="1"/>
    <w:pPr>
      <w:spacing w:line="400" w:lineRule="exact"/>
    </w:pPr>
    <w:rPr>
      <w:sz w:val="24"/>
    </w:rPr>
  </w:style>
  <w:style w:type="paragraph" w:customStyle="1" w:styleId="48">
    <w:name w:val="无间隔211"/>
    <w:basedOn w:val="1"/>
    <w:qFormat/>
    <w:uiPriority w:val="1"/>
    <w:pPr>
      <w:spacing w:line="400" w:lineRule="exact"/>
    </w:pPr>
    <w:rPr>
      <w:sz w:val="24"/>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0">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4"/>
    </w:rPr>
  </w:style>
  <w:style w:type="paragraph" w:customStyle="1" w:styleId="51">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52">
    <w:name w:val="无间隔21"/>
    <w:basedOn w:val="1"/>
    <w:qFormat/>
    <w:uiPriority w:val="1"/>
    <w:pPr>
      <w:spacing w:line="400" w:lineRule="exact"/>
    </w:pPr>
    <w:rPr>
      <w:sz w:val="24"/>
    </w:rPr>
  </w:style>
  <w:style w:type="paragraph" w:customStyle="1" w:styleId="53">
    <w:name w:val="Default"/>
    <w:next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cs="Times New Roman"/>
      <w:b w:val="0"/>
      <w:bCs w:val="0"/>
      <w:sz w:val="28"/>
      <w:szCs w:val="28"/>
    </w:rPr>
  </w:style>
  <w:style w:type="paragraph" w:customStyle="1" w:styleId="5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hover1"/>
    <w:basedOn w:val="28"/>
    <w:qFormat/>
    <w:uiPriority w:val="0"/>
  </w:style>
  <w:style w:type="character" w:customStyle="1" w:styleId="57">
    <w:name w:val="hover2"/>
    <w:basedOn w:val="28"/>
    <w:qFormat/>
    <w:uiPriority w:val="0"/>
    <w:rPr>
      <w:color w:val="2590EB"/>
    </w:rPr>
  </w:style>
  <w:style w:type="character" w:customStyle="1" w:styleId="58">
    <w:name w:val="hover3"/>
    <w:basedOn w:val="28"/>
    <w:qFormat/>
    <w:uiPriority w:val="0"/>
    <w:rPr>
      <w:color w:val="2590EB"/>
    </w:rPr>
  </w:style>
  <w:style w:type="character" w:customStyle="1" w:styleId="59">
    <w:name w:val="hover4"/>
    <w:basedOn w:val="28"/>
    <w:qFormat/>
    <w:uiPriority w:val="0"/>
    <w:rPr>
      <w:color w:val="2590EB"/>
      <w:shd w:val="clear" w:color="auto" w:fill="E9F4FD"/>
    </w:rPr>
  </w:style>
  <w:style w:type="character" w:customStyle="1" w:styleId="60">
    <w:name w:val="mini-outputtext1"/>
    <w:basedOn w:val="28"/>
    <w:qFormat/>
    <w:uiPriority w:val="0"/>
  </w:style>
  <w:style w:type="paragraph" w:customStyle="1" w:styleId="61">
    <w:name w:val="表格"/>
    <w:basedOn w:val="1"/>
    <w:qFormat/>
    <w:uiPriority w:val="0"/>
    <w:pPr>
      <w:jc w:val="center"/>
    </w:pPr>
    <w:rPr>
      <w:rFonts w:hint="eastAsia"/>
    </w:rPr>
  </w:style>
  <w:style w:type="character" w:customStyle="1" w:styleId="62">
    <w:name w:val="hover"/>
    <w:basedOn w:val="28"/>
    <w:qFormat/>
    <w:uiPriority w:val="0"/>
    <w:rPr>
      <w:color w:val="2590EB"/>
    </w:rPr>
  </w:style>
  <w:style w:type="paragraph" w:customStyle="1" w:styleId="63">
    <w:name w:val="Table Text"/>
    <w:basedOn w:val="1"/>
    <w:semiHidden/>
    <w:qFormat/>
    <w:uiPriority w:val="0"/>
    <w:rPr>
      <w:rFonts w:ascii="宋体" w:hAnsi="宋体" w:cs="宋体"/>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6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header" Target="header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20336</Words>
  <Characters>21950</Characters>
  <Lines>346</Lines>
  <Paragraphs>97</Paragraphs>
  <TotalTime>182</TotalTime>
  <ScaleCrop>false</ScaleCrop>
  <LinksUpToDate>false</LinksUpToDate>
  <CharactersWithSpaces>23322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2022-06-16T07:08:00Z</dcterms:created>
  <dc:creator>52赫兹的鲸</dc:creator>
  <cp:lastModifiedBy>文西</cp:lastModifiedBy>
  <cp:lastPrinted>2025-05-09T03:34:00Z</cp:lastPrinted>
  <dcterms:modified xsi:type="dcterms:W3CDTF">2025-10-28T02:40:18Z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6262DEA041A241B488B0FECABB09ECFA_13</vt:lpwstr>
  </property>
  <property fmtid="{D5CDD505-2E9C-101B-9397-08002B2CF9AE}" pid="4" name="KSOTemplateDocerSaveRecord">
    <vt:lpwstr>eyJoZGlkIjoiNmMxYTdlNDIzODllZTFiYjhmZmQ1YWI4M2JhYzIyY2YiLCJ1c2VySWQiOiIyODIyMDA5NjMifQ==</vt:lpwstr>
  </property>
</Properties>
</file>